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1B4F72"/>
          <w:sz w:val="44"/>
          <w:szCs w:val="44"/>
        </w:rPr>
        <w:t xml:space="preserve">CHECKLIST CONSULENZA LEGALE</w:t>
      </w:r>
    </w:p>
    <w:p>
      <w:pPr>
        <w:pBdr>
          <w:bottom w:val="single" w:color="2E86C1" w:sz="8" w:space="8"/>
        </w:pBdr>
        <w:spacing w:after="400"/>
      </w:pPr>
      <w:r>
        <w:rPr>
          <w:rFonts w:ascii="Arial" w:cs="Arial" w:eastAsia="Arial" w:hAnsi="Arial"/>
          <w:color w:val="555555"/>
          <w:sz w:val="24"/>
          <w:szCs w:val="24"/>
        </w:rPr>
        <w:t xml:space="preserve">Elenco completo delle verifiche da sottoporre all'avvocato specializzato in diritto digitale</w:t>
      </w:r>
    </w:p>
    <w:p>
      <w:pPr>
        <w:spacing w:after="60"/>
      </w:pPr>
    </w:p>
    <w:p>
      <w:pPr>
        <w:spacing w:after="120"/>
      </w:pPr>
      <w:r>
        <w:rPr>
          <w:rFonts w:ascii="Arial" w:cs="Arial" w:eastAsia="Arial" w:hAnsi="Arial"/>
          <w:sz w:val="22"/>
          <w:szCs w:val="22"/>
        </w:rPr>
        <w:t xml:space="preserve">Questo documento contiene due sezioni:</w:t>
      </w:r>
    </w:p>
    <w:p>
      <w:pPr>
        <w:pStyle w:val="ListParagraph"/>
        <w:numPr>
          <w:ilvl w:val="0"/>
          <w:numId w:val="2"/>
        </w:numPr>
        <w:spacing w:after="60"/>
      </w:pPr>
      <w:r>
        <w:rPr>
          <w:rFonts w:ascii="Arial" w:cs="Arial" w:eastAsia="Arial" w:hAnsi="Arial"/>
          <w:sz w:val="22"/>
          <w:szCs w:val="22"/>
        </w:rPr>
        <w:t xml:space="preserve">Checklist dettagliata di tutte le verifiche legali necessarie per il lancio di Privatio, organizzata per area tematica (7 aree, 35 punti di verifica)</w:t>
      </w:r>
    </w:p>
    <w:p>
      <w:pPr>
        <w:pStyle w:val="ListParagraph"/>
        <w:numPr>
          <w:ilvl w:val="0"/>
          <w:numId w:val="2"/>
        </w:numPr>
        <w:spacing w:after="60"/>
      </w:pPr>
      <w:r>
        <w:rPr>
          <w:rFonts w:ascii="Arial" w:cs="Arial" w:eastAsia="Arial" w:hAnsi="Arial"/>
          <w:sz w:val="22"/>
          <w:szCs w:val="22"/>
        </w:rPr>
        <w:t xml:space="preserve">Bozza di email da inviare all'avvocato per richiedere un preventivo</w:t>
      </w:r>
    </w:p>
    <w:p>
      <w:pPr>
        <w:spacing w:after="60"/>
      </w:pPr>
    </w:p>
    <w:p>
      <w:pPr>
        <w:spacing w:after="120"/>
      </w:pPr>
      <w:r>
        <w:rPr>
          <w:rFonts w:ascii="Arial" w:cs="Arial" w:eastAsia="Arial" w:hAnsi="Arial"/>
          <w:sz w:val="22"/>
          <w:szCs w:val="22"/>
        </w:rPr>
        <w:t xml:space="preserve">Le verifiche sono elencate in ordine di priorita: la classificazione ATECO e i contratti sono i punti piu urgenti, seguiti dalla compliance P2B e GDPR.</w:t>
      </w:r>
    </w:p>
    <w:p>
      <w:pPr>
        <w:spacing w:after="60"/>
      </w:pPr>
    </w:p>
    <w:p>
      <w:pPr>
        <w:pStyle w:val="Heading2"/>
        <w:spacing w:after="120" w:before="240"/>
      </w:pPr>
      <w:r>
        <w:rPr>
          <w:rFonts w:ascii="Arial" w:cs="Arial" w:eastAsia="Arial" w:hAnsi="Arial"/>
          <w:b/>
          <w:bCs/>
          <w:color w:val="1B4F72"/>
          <w:sz w:val="28"/>
          <w:szCs w:val="28"/>
        </w:rPr>
        <w:t xml:space="preserve">Riepilogo per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5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 verifiche</w:t>
            </w:r>
          </w:p>
        </w:tc>
        <w:tc>
          <w:tcPr>
            <w:tcW w:type="dxa" w:w="25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Priorita</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 Classificazione e modello di business</w:t>
            </w:r>
          </w:p>
        </w:tc>
        <w:tc>
          <w:tcPr>
            <w:tcW w:type="dxa" w:w="2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CRITICA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 Contratto venditore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ALTA</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 Contratto agenzia convenzionata</w:t>
            </w:r>
          </w:p>
        </w:tc>
        <w:tc>
          <w:tcPr>
            <w:tcW w:type="dxa" w:w="2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ALTA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 Termini di servizio acquirente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ALTA</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 Cookie banner e GDPR</w:t>
            </w:r>
          </w:p>
        </w:tc>
        <w:tc>
          <w:tcPr>
            <w:tcW w:type="dxa" w:w="2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MEDIA-ALTA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 Privacy Policy e nomine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G. Aspetti generali</w:t>
            </w:r>
          </w:p>
        </w:tc>
        <w:tc>
          <w:tcPr>
            <w:tcW w:type="dxa" w:w="2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MEDIA</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TOTALE</w:t>
            </w:r>
          </w:p>
        </w:tc>
        <w:tc>
          <w:tcPr>
            <w:tcW w:type="dxa" w:w="25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32</w:t>
            </w:r>
          </w:p>
        </w:tc>
        <w:tc>
          <w:tcPr>
            <w:tcW w:type="dxa" w:w="25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r>
        <w:br w:type="page"/>
      </w:r>
    </w:p>
    <w:p>
      <w:pPr>
        <w:pStyle w:val="Heading1"/>
        <w:spacing w:after="120" w:before="360"/>
      </w:pPr>
      <w:r>
        <w:rPr>
          <w:rFonts w:ascii="Arial" w:cs="Arial" w:eastAsia="Arial" w:hAnsi="Arial"/>
          <w:b/>
          <w:bCs/>
          <w:color w:val="1B4F72"/>
          <w:sz w:val="32"/>
          <w:szCs w:val="32"/>
        </w:rPr>
        <w:t xml:space="preserve">PARTE 1: CHECKLIST DETTAGLIATA</w:t>
      </w:r>
    </w:p>
    <w:p>
      <w:pPr>
        <w:spacing w:after="60"/>
      </w:pPr>
    </w:p>
    <w:p>
      <w:pPr>
        <w:pStyle w:val="Heading2"/>
        <w:spacing w:after="120" w:before="240"/>
      </w:pPr>
      <w:r>
        <w:rPr>
          <w:rFonts w:ascii="Arial" w:cs="Arial" w:eastAsia="Arial" w:hAnsi="Arial"/>
          <w:b/>
          <w:bCs/>
          <w:color w:val="1B4F72"/>
          <w:sz w:val="28"/>
          <w:szCs w:val="28"/>
        </w:rPr>
        <w:t xml:space="preserve">A. CLASSIFICAZIONE E MODELLO DI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763"/>
        <w:gridCol w:w="4763"/>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Punto di verifica</w:t>
            </w:r>
          </w:p>
        </w:tc>
        <w:tc>
          <w:tcPr>
            <w:tcW w:type="dxa" w:w="4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Dettaglio / Istruzioni per l'avvocato</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Parere pro-veritate sulla classificazione ATECO</w:t>
            </w:r>
          </w:p>
        </w:tc>
        <w:tc>
          <w:tcPr>
            <w:tcW w:type="dxa" w:w="4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Confermare che 63.12.00 (portali web) sia corretto e che NON si configuri mediazione immobiliare (68.31.00). Verificare che il modello marketplace B2B2C non richieda patentino ex L. 39/1989.</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Analisi del modello commissionale</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Validare che Privatio possa imporre alle agenzie convenzionate di non addebitare provvigioni al venditore (Art. 5-bis contratto agenzia) senza violare norme sulla libera determinazione dei prezzi.</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Verifica requisiti Startup Innovativa</w:t>
            </w:r>
          </w:p>
        </w:tc>
        <w:tc>
          <w:tcPr>
            <w:tcW w:type="dxa" w:w="4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Confermare idoneita al criterio 1 (R&amp;S &gt;= 15% valore produzione) e/o criterio 3 (software registrato SIAE). Verificare compatibilita statuto con requisiti sezione speciale.</w:t>
            </w:r>
          </w:p>
        </w:tc>
      </w:tr>
    </w:tbl>
    <w:p>
      <w:pPr>
        <w:spacing w:after="60"/>
      </w:pPr>
    </w:p>
    <w:p>
      <w:pPr>
        <w:pStyle w:val="Heading2"/>
        <w:spacing w:after="120" w:before="240"/>
      </w:pPr>
      <w:r>
        <w:rPr>
          <w:rFonts w:ascii="Arial" w:cs="Arial" w:eastAsia="Arial" w:hAnsi="Arial"/>
          <w:b/>
          <w:bCs/>
          <w:color w:val="1B4F72"/>
          <w:sz w:val="28"/>
          <w:szCs w:val="28"/>
        </w:rPr>
        <w:t xml:space="preserve">B. CONTRATTO VENDITORE (esistente)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763"/>
        <w:gridCol w:w="4763"/>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Punto di verifica</w:t>
            </w:r>
          </w:p>
        </w:tc>
        <w:tc>
          <w:tcPr>
            <w:tcW w:type="dxa" w:w="4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Dettaglio / Istruzioni per l'avvocato</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Revisione Art. 1.2 - Dichiarazione di non intermediazione</w:t>
            </w:r>
          </w:p>
        </w:tc>
        <w:tc>
          <w:tcPr>
            <w:tcW w:type="dxa" w:w="4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Verificare che la formulazione sia giuridicamente solida e sufficiente a escludere l'applicazione della L. 39/1989.</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Revisione Art. 5-bis - Zero commissioni venditore</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Validare la clausola che obbliga le agenzie a non addebitare provvigioni al venditore. Verificare compatibilita con normativa antitrust e liberta contrattuale.</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Clausole vessatorie ex artt. 1341-1342 c.c.</w:t>
            </w:r>
          </w:p>
        </w:tc>
        <w:tc>
          <w:tcPr>
            <w:tcW w:type="dxa" w:w="4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Identificare clausole che richiedono doppia sottoscrizione specifica e verificare la corretta implementazione del meccanismo di accettazione.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Conformita Codice del Consumo</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Verificare diritto di recesso (14 gg per contratti a distanza), informazioni precontrattuali obbligatorie, clausole abusive.</w:t>
            </w:r>
          </w:p>
        </w:tc>
      </w:tr>
    </w:tbl>
    <w:p>
      <w:pPr>
        <w:spacing w:after="60"/>
      </w:pPr>
    </w:p>
    <w:p>
      <w:pPr>
        <w:pStyle w:val="Heading2"/>
        <w:spacing w:after="120" w:before="240"/>
      </w:pPr>
      <w:r>
        <w:rPr>
          <w:rFonts w:ascii="Arial" w:cs="Arial" w:eastAsia="Arial" w:hAnsi="Arial"/>
          <w:b/>
          <w:bCs/>
          <w:color w:val="1B4F72"/>
          <w:sz w:val="28"/>
          <w:szCs w:val="28"/>
        </w:rPr>
        <w:t xml:space="preserve">C. CONTRATTO AGENZIA CONVENZIONATA (esistente)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763"/>
        <w:gridCol w:w="4763"/>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Punto di verifica</w:t>
            </w:r>
          </w:p>
        </w:tc>
        <w:tc>
          <w:tcPr>
            <w:tcW w:type="dxa" w:w="4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Dettaglio / Istruzioni per l'avvocato</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Revisione generale del contratto B2B</w:t>
            </w:r>
          </w:p>
        </w:tc>
        <w:tc>
          <w:tcPr>
            <w:tcW w:type="dxa" w:w="4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Validare struttura contrattuale, obblighi reciproci, piani di abbonamento (BASE/PREMIER LOCAL/CITY/PRIME), SLA, penali.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Conformita Regolamento P2B (UE 2019/1150) - Criteri di ranking</w:t>
            </w:r>
          </w:p>
        </w:tc>
        <w:tc>
          <w:tcPr>
            <w:tcW w:type="dxa" w:w="4763"/>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sz w:val="20"/>
                <w:szCs w:val="20"/>
              </w:rPr>
              <w:t xml:space="preserve">MANCANTE: Aggiungere articolo che descriva i parametri principali di classificazione degli annunci nel motore di ricerca, con indicazione della possibilita di influenzare il ranking tramite corrispettivo.</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Conformita P2B - Sistema di gestione reclami</w:t>
            </w:r>
          </w:p>
        </w:tc>
        <w:tc>
          <w:tcPr>
            <w:tcW w:type="dxa" w:w="4763"/>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sz w:val="20"/>
                <w:szCs w:val="20"/>
              </w:rPr>
              <w:t xml:space="preserve">MANCANTE: Inserire clausola sul sistema interno di gestione reclami con tempi di risposta ragionevoli, come richiesto dall'art. 11 del Regolamento.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Conformita P2B - Designazione mediatore</w:t>
            </w:r>
          </w:p>
        </w:tc>
        <w:tc>
          <w:tcPr>
            <w:tcW w:type="dxa" w:w="4763"/>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sz w:val="20"/>
                <w:szCs w:val="20"/>
              </w:rPr>
              <w:t xml:space="preserve">MANCANTE: Designare almeno due organismi di mediazione per la risoluzione extragiudiziale delle controversie (art. 12 Reg. P2B).</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Conformita P2B - Trattamento differenziato</w:t>
            </w:r>
          </w:p>
        </w:tc>
        <w:tc>
          <w:tcPr>
            <w:tcW w:type="dxa" w:w="4763"/>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sz w:val="20"/>
                <w:szCs w:val="20"/>
              </w:rPr>
              <w:t xml:space="preserve">MANCANTE: Dichiarare se Privatio o soggetti controllati offrono servizi concorrenti e in che termini cio influenzi il ranking (art. 7 Reg. P2B).</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 5-bis e clausola anti-provvigioni</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Stessa verifica del contratto venditore, ma lato B2B: validare la legittimita dell'obbligo con relativa penale di 10.000 EUR.</w:t>
            </w:r>
          </w:p>
        </w:tc>
      </w:tr>
    </w:tbl>
    <w:p>
      <w:pPr>
        <w:spacing w:after="60"/>
      </w:pPr>
    </w:p>
    <w:p>
      <w:pPr>
        <w:pStyle w:val="Heading2"/>
        <w:spacing w:after="120" w:before="240"/>
      </w:pPr>
      <w:r>
        <w:rPr>
          <w:rFonts w:ascii="Arial" w:cs="Arial" w:eastAsia="Arial" w:hAnsi="Arial"/>
          <w:b/>
          <w:bCs/>
          <w:color w:val="1B4F72"/>
          <w:sz w:val="28"/>
          <w:szCs w:val="28"/>
        </w:rPr>
        <w:t xml:space="preserve">D. TERMINI DI SERVIZIO ACQUIRENTE (bozza da validare)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763"/>
        <w:gridCol w:w="4763"/>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Punto di verifica</w:t>
            </w:r>
          </w:p>
        </w:tc>
        <w:tc>
          <w:tcPr>
            <w:tcW w:type="dxa" w:w="4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Dettaglio / Istruzioni per l'avvocato</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Revisione completa della bozza (12 articoli)</w:t>
            </w:r>
          </w:p>
        </w:tc>
        <w:tc>
          <w:tcPr>
            <w:tcW w:type="dxa" w:w="4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File: Privatio_Termini_Servizio_Acquirente_BOZZA.docx. Verificare completezza, coerenza con gli altri contratti, e conformita al Codice del Consumo.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 2 - Natura del Servizio</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Confermare che la dichiarazione di non intermediazione sia coerente e sufficiente anche lato acquirente.</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Art. 5 - Rapporto con Agenzie e Provvigioni</w:t>
            </w:r>
          </w:p>
        </w:tc>
        <w:tc>
          <w:tcPr>
            <w:tcW w:type="dxa" w:w="4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Validare il disclaimer sulla provvigione acquirente (negoziata direttamente con l'agenzia, non da Privatio).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 8 - GDPR e basi giuridiche</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Verificare correttezza delle 4 basi giuridiche indicate (contratto, legittimo interesse, obbligo legale, consenso) e coerenza con la Privacy Policy.</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Art. 11 - Clausole vessatorie 1341-1342</w:t>
            </w:r>
          </w:p>
        </w:tc>
        <w:tc>
          <w:tcPr>
            <w:tcW w:type="dxa" w:w="4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Validare l'elenco delle clausole che richiedono approvazione specifica e il meccanismo di doppio checkbox previsto nel frontend.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Foro competente e ODR</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Confermare che la clausola del foro del consumatore + link ODR (art. 10) sia conforme alla normativa vigente.</w:t>
            </w:r>
          </w:p>
        </w:tc>
      </w:tr>
    </w:tbl>
    <w:p>
      <w:pPr>
        <w:spacing w:after="60"/>
      </w:pPr>
    </w:p>
    <w:p>
      <w:pPr>
        <w:pStyle w:val="Heading2"/>
        <w:spacing w:after="120" w:before="240"/>
      </w:pPr>
      <w:r>
        <w:rPr>
          <w:rFonts w:ascii="Arial" w:cs="Arial" w:eastAsia="Arial" w:hAnsi="Arial"/>
          <w:b/>
          <w:bCs/>
          <w:color w:val="1B4F72"/>
          <w:sz w:val="28"/>
          <w:szCs w:val="28"/>
        </w:rPr>
        <w:t xml:space="preserve">E. COOKIE BANNER E GDPR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763"/>
        <w:gridCol w:w="4763"/>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Punto di verifica</w:t>
            </w:r>
          </w:p>
        </w:tc>
        <w:tc>
          <w:tcPr>
            <w:tcW w:type="dxa" w:w="4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Dettaglio / Istruzioni per l'avvocato</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5.1</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Testo del banner</w:t>
            </w:r>
          </w:p>
        </w:tc>
        <w:tc>
          <w:tcPr>
            <w:tcW w:type="dxa" w:w="4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Verificare che il testo 'Utilizziamo cookie tecnici necessari al funzionamento del sito e, previo tuo consenso, cookie analitici per migliorare la tua esperienza' sia conforme alle Linee Guida Garante Privacy 10/06/2021.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5.2</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Categorie di cookie</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Validare le 3 categorie implementate: Necessari (sempre attivi), Analitici (GA4), Marketing. Verificare che la granularita sia sufficiente.</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5.3</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Dicitura 'dati anonimizzati' per GA4</w:t>
            </w:r>
          </w:p>
        </w:tc>
        <w:tc>
          <w:tcPr>
            <w:tcW w:type="dxa" w:w="4763"/>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sz w:val="20"/>
                <w:szCs w:val="20"/>
              </w:rPr>
              <w:t xml:space="preserve">ATTENZIONE: GA4 usa IP anonymization di default, ma il Garante italiano ha posto restrizioni specifiche su Google Analytics (Provvedimento del 09/06/2022). Verificare se la dicitura e corretta o se va modificata in 'dati pseudonimizzati' o altra formula.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5.4</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Meccanismo di consenso</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Verificare che: (a) non ci siano cookie impostati prima del consenso, (b) il rifiuto sia altrettanto facile dell'accettazione, (c) il consenso sia revocabile. Il banner ha i bottoni 'Rifiuta tutti' / 'Personalizza' / 'Accetta tutti'.</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5.5</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Ritardo visualizzazione (1 secondo)</w:t>
            </w:r>
          </w:p>
        </w:tc>
        <w:tc>
          <w:tcPr>
            <w:tcW w:type="dxa" w:w="4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Il banner appare dopo 1 secondo di delay. Verificare se questo e conforme o se il Garante richiede visualizzazione immediata al primo accesso.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5.6</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Link a Cookie Policy</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Presente nel banner. Verificare che la Cookie Policy contenga tutti gli elementi obbligatori: elenco cookie con finalita, durata, terze parti, modalita di gestione.</w:t>
            </w:r>
          </w:p>
        </w:tc>
      </w:tr>
    </w:tbl>
    <w:p>
      <w:pPr>
        <w:spacing w:after="60"/>
      </w:pPr>
    </w:p>
    <w:p>
      <w:pPr>
        <w:pStyle w:val="Heading2"/>
        <w:spacing w:after="120" w:before="240"/>
      </w:pPr>
      <w:r>
        <w:rPr>
          <w:rFonts w:ascii="Arial" w:cs="Arial" w:eastAsia="Arial" w:hAnsi="Arial"/>
          <w:b/>
          <w:bCs/>
          <w:color w:val="1B4F72"/>
          <w:sz w:val="28"/>
          <w:szCs w:val="28"/>
        </w:rPr>
        <w:t xml:space="preserve">F. PRIVACY POLICY E NOMINE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763"/>
        <w:gridCol w:w="4763"/>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Punto di verifica</w:t>
            </w:r>
          </w:p>
        </w:tc>
        <w:tc>
          <w:tcPr>
            <w:tcW w:type="dxa" w:w="4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Dettaglio / Istruzioni per l'avvocato</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6.1</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Privacy Policy del sito</w:t>
            </w:r>
          </w:p>
        </w:tc>
        <w:tc>
          <w:tcPr>
            <w:tcW w:type="dxa" w:w="4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Verificare completezza: identita titolare, DPO (se necessario), finalita e basi giuridiche, destinatari, trasferimenti extra-UE (Supabase, Vercel, Google Analytics), tempi di conservazione, diritti interessati.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6.2</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Nomine a Responsabile del trattamento (DPA)</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Predisporre DPA per: Supabase (database), Vercel (hosting), Google (Analytics), Stripe (pagamenti, quando configurato), Resend (email, quando configurato). Verificare le Standard Contractual Clauses per trasferimenti USA.</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6.3</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Registro dei trattamenti</w:t>
            </w:r>
          </w:p>
        </w:tc>
        <w:tc>
          <w:tcPr>
            <w:tcW w:type="dxa" w:w="4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Predisporre il registro ex art. 30 GDPR con tutti i trattamenti effettuati dalla piattaforma.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6.4</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DPIA (se necessaria)</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Valutare se il trattamento su larga scala di dati relativi a immobili + profilazione utenti richieda una DPIA ex art. 35 GDPR.</w:t>
            </w:r>
          </w:p>
        </w:tc>
      </w:tr>
    </w:tbl>
    <w:p>
      <w:pPr>
        <w:spacing w:after="60"/>
      </w:pPr>
    </w:p>
    <w:p>
      <w:pPr>
        <w:pStyle w:val="Heading2"/>
        <w:spacing w:after="120" w:before="240"/>
      </w:pPr>
      <w:r>
        <w:rPr>
          <w:rFonts w:ascii="Arial" w:cs="Arial" w:eastAsia="Arial" w:hAnsi="Arial"/>
          <w:b/>
          <w:bCs/>
          <w:color w:val="1B4F72"/>
          <w:sz w:val="28"/>
          <w:szCs w:val="28"/>
        </w:rPr>
        <w:t xml:space="preserve">G. ASPETTI GENERALI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763"/>
        <w:gridCol w:w="4763"/>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Punto di verifica</w:t>
            </w:r>
          </w:p>
        </w:tc>
        <w:tc>
          <w:tcPr>
            <w:tcW w:type="dxa" w:w="4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Dettaglio / Istruzioni per l'avvocato</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7.1</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Coerenza tra tutti i documenti</w:t>
            </w:r>
          </w:p>
        </w:tc>
        <w:tc>
          <w:tcPr>
            <w:tcW w:type="dxa" w:w="4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Verificare che i termini usati siano coerenti tra contratto venditore, contratto agenzia, termini acquirente, privacy policy e cookie policy.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7.2</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Informativa precontrattuale e-commerce</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Verificare conformita al D.Lgs. 70/2003 (direttiva e-commerce): informazioni obbligatorie nel footer, condizioni generali facilmente accessibili.</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7.3</w:t>
            </w:r>
          </w:p>
        </w:tc>
        <w:tc>
          <w:tcPr>
            <w:tcW w:type="dxa" w:w="3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Accessibilita documenti legali</w:t>
            </w:r>
          </w:p>
        </w:tc>
        <w:tc>
          <w:tcPr>
            <w:tcW w:type="dxa" w:w="47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Tutti i documenti devono essere raggiungibili dal footer del sito e formulati in linguaggio chiaro e comprensibile.</w:t>
            </w:r>
          </w:p>
        </w:tc>
      </w:tr>
    </w:tbl>
    <w:p>
      <w:pPr>
        <w:spacing w:after="60"/>
      </w:pPr>
    </w:p>
    <w:p>
      <w:r>
        <w:br w:type="page"/>
      </w:r>
    </w:p>
    <w:p>
      <w:pPr>
        <w:pStyle w:val="Heading1"/>
        <w:spacing w:after="120" w:before="360"/>
      </w:pPr>
      <w:r>
        <w:rPr>
          <w:rFonts w:ascii="Arial" w:cs="Arial" w:eastAsia="Arial" w:hAnsi="Arial"/>
          <w:b/>
          <w:bCs/>
          <w:color w:val="1B4F72"/>
          <w:sz w:val="32"/>
          <w:szCs w:val="32"/>
        </w:rPr>
        <w:t xml:space="preserve">PARTE 2: EMAIL PER L'AVVOCATO</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sz w:val="20"/>
                <w:szCs w:val="20"/>
              </w:rPr>
              <w:t xml:space="preserve">Oggetto:</w:t>
            </w:r>
          </w:p>
        </w:tc>
        <w:tc>
          <w:tcPr>
            <w:tcW w:type="dxa" w:w="7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2"/>
                <w:szCs w:val="22"/>
              </w:rPr>
              <w:t xml:space="preserve">Richiesta consulenza legale - Piattaforma marketplace immobiliare Privatio</w:t>
            </w:r>
          </w:p>
        </w:tc>
      </w:tr>
    </w:tbl>
    <w:p>
      <w:pPr>
        <w:spacing w:after="60"/>
      </w:pPr>
    </w:p>
    <w:p>
      <w:pPr>
        <w:spacing w:after="60"/>
      </w:pPr>
      <w:r>
        <w:rPr>
          <w:rFonts w:ascii="Arial" w:cs="Arial" w:eastAsia="Arial" w:hAnsi="Arial"/>
          <w:b w:val="false"/>
          <w:bCs w:val="false"/>
          <w:sz w:val="22"/>
          <w:szCs w:val="22"/>
        </w:rPr>
        <w:t xml:space="preserve">Gentile Avvocato/a,</w:t>
      </w:r>
    </w:p>
    <w:p>
      <w:pPr>
        <w:spacing w:after="60"/>
      </w:pPr>
    </w:p>
    <w:p>
      <w:pPr>
        <w:spacing w:after="60"/>
      </w:pPr>
      <w:r>
        <w:rPr>
          <w:rFonts w:ascii="Arial" w:cs="Arial" w:eastAsia="Arial" w:hAnsi="Arial"/>
          <w:b w:val="false"/>
          <w:bCs w:val="false"/>
          <w:sz w:val="22"/>
          <w:szCs w:val="22"/>
        </w:rPr>
        <w:t xml:space="preserve">mi chiamo Federico e sono il fondatore di Privatio (https://privatio.vercel.app), una piattaforma digitale di tipo marketplace dedicata alla compravendita immobiliare.</w:t>
      </w:r>
    </w:p>
    <w:p>
      <w:pPr>
        <w:spacing w:after="60"/>
      </w:pPr>
    </w:p>
    <w:p>
      <w:pPr>
        <w:spacing w:after="60"/>
      </w:pPr>
      <w:r>
        <w:rPr>
          <w:rFonts w:ascii="Arial" w:cs="Arial" w:eastAsia="Arial" w:hAnsi="Arial"/>
          <w:b w:val="false"/>
          <w:bCs w:val="false"/>
          <w:sz w:val="22"/>
          <w:szCs w:val="22"/>
        </w:rPr>
        <w:t xml:space="preserve">Il modello di business prevede che le agenzie immobiliari convenzionate pubblichino i propri annunci sulla piattaforma, mentre gli acquirenti possano cercare e contattare le agenzie direttamente. Privatio non svolge attivita di intermediazione immobiliare: opera come portale web (ATECO 63.12.00) e si remunera esclusivamente attraverso abbonamenti delle agenzie.</w:t>
      </w:r>
    </w:p>
    <w:p>
      <w:pPr>
        <w:spacing w:after="60"/>
      </w:pPr>
    </w:p>
    <w:p>
      <w:pPr>
        <w:spacing w:after="60"/>
      </w:pPr>
      <w:r>
        <w:rPr>
          <w:rFonts w:ascii="Arial" w:cs="Arial" w:eastAsia="Arial" w:hAnsi="Arial"/>
          <w:b w:val="false"/>
          <w:bCs w:val="false"/>
          <w:sz w:val="22"/>
          <w:szCs w:val="22"/>
        </w:rPr>
        <w:t xml:space="preserve">Un elemento distintivo del modello e l'obbligo per le agenzie convenzionate di non addebitare provvigioni al venditore, trasferendo il costo esclusivamente sull'acquirente.</w:t>
      </w:r>
    </w:p>
    <w:p>
      <w:pPr>
        <w:spacing w:after="60"/>
      </w:pPr>
    </w:p>
    <w:p>
      <w:pPr>
        <w:spacing w:after="60"/>
      </w:pPr>
      <w:r>
        <w:rPr>
          <w:rFonts w:ascii="Arial" w:cs="Arial" w:eastAsia="Arial" w:hAnsi="Arial"/>
          <w:b w:val="false"/>
          <w:bCs w:val="false"/>
          <w:sz w:val="22"/>
          <w:szCs w:val="22"/>
        </w:rPr>
        <w:t xml:space="preserve">Sto costituendo una SRL Startup Innovativa e necessito di una consulenza legale strutturata che copra i seguenti ambiti:</w:t>
      </w:r>
    </w:p>
    <w:p>
      <w:pPr>
        <w:spacing w:after="60"/>
      </w:pPr>
    </w:p>
    <w:p>
      <w:pPr>
        <w:spacing w:after="120"/>
      </w:pPr>
      <w:r>
        <w:rPr>
          <w:rFonts w:ascii="Arial" w:cs="Arial" w:eastAsia="Arial" w:hAnsi="Arial"/>
          <w:b/>
          <w:bCs/>
          <w:sz w:val="22"/>
          <w:szCs w:val="22"/>
        </w:rPr>
        <w:t xml:space="preserve">1. CLASSIFICAZIONE E MODELLO DI BUSINESS</w:t>
      </w:r>
    </w:p>
    <w:p>
      <w:pPr>
        <w:spacing w:after="60"/>
        <w:ind w:left="480"/>
      </w:pPr>
      <w:r>
        <w:rPr>
          <w:rFonts w:ascii="Arial" w:cs="Arial" w:eastAsia="Arial" w:hAnsi="Arial"/>
          <w:b w:val="false"/>
          <w:bCs w:val="false"/>
          <w:sz w:val="22"/>
          <w:szCs w:val="22"/>
        </w:rPr>
        <w:t xml:space="preserve">- Parere pro-veritate sulla corretta classificazione ATECO (63.12.00 vs 68.31.00)</w:t>
      </w:r>
    </w:p>
    <w:p>
      <w:pPr>
        <w:spacing w:after="60"/>
        <w:ind w:left="480"/>
      </w:pPr>
      <w:r>
        <w:rPr>
          <w:rFonts w:ascii="Arial" w:cs="Arial" w:eastAsia="Arial" w:hAnsi="Arial"/>
          <w:b w:val="false"/>
          <w:bCs w:val="false"/>
          <w:sz w:val="22"/>
          <w:szCs w:val="22"/>
        </w:rPr>
        <w:t xml:space="preserve">- Conferma che il modello non configuri mediazione immobiliare ex L. 39/1989</w:t>
      </w:r>
    </w:p>
    <w:p>
      <w:pPr>
        <w:spacing w:after="60"/>
        <w:ind w:left="480"/>
      </w:pPr>
      <w:r>
        <w:rPr>
          <w:rFonts w:ascii="Arial" w:cs="Arial" w:eastAsia="Arial" w:hAnsi="Arial"/>
          <w:b w:val="false"/>
          <w:bCs w:val="false"/>
          <w:sz w:val="22"/>
          <w:szCs w:val="22"/>
        </w:rPr>
        <w:t xml:space="preserve">- Validazione della clausola anti-provvigioni venditore</w:t>
      </w:r>
    </w:p>
    <w:p>
      <w:pPr>
        <w:spacing w:after="60"/>
      </w:pPr>
    </w:p>
    <w:p>
      <w:pPr>
        <w:spacing w:after="120"/>
      </w:pPr>
      <w:r>
        <w:rPr>
          <w:rFonts w:ascii="Arial" w:cs="Arial" w:eastAsia="Arial" w:hAnsi="Arial"/>
          <w:b/>
          <w:bCs/>
          <w:sz w:val="22"/>
          <w:szCs w:val="22"/>
        </w:rPr>
        <w:t xml:space="preserve">2. REVISIONE CONTRATTUALISTICA (3 contratti)</w:t>
      </w:r>
    </w:p>
    <w:p>
      <w:pPr>
        <w:spacing w:after="60"/>
        <w:ind w:left="480"/>
      </w:pPr>
      <w:r>
        <w:rPr>
          <w:rFonts w:ascii="Arial" w:cs="Arial" w:eastAsia="Arial" w:hAnsi="Arial"/>
          <w:b w:val="false"/>
          <w:bCs w:val="false"/>
          <w:sz w:val="22"/>
          <w:szCs w:val="22"/>
        </w:rPr>
        <w:t xml:space="preserve">- Contratto venditore (esistente, da revisionare)</w:t>
      </w:r>
    </w:p>
    <w:p>
      <w:pPr>
        <w:spacing w:after="60"/>
        <w:ind w:left="480"/>
      </w:pPr>
      <w:r>
        <w:rPr>
          <w:rFonts w:ascii="Arial" w:cs="Arial" w:eastAsia="Arial" w:hAnsi="Arial"/>
          <w:b w:val="false"/>
          <w:bCs w:val="false"/>
          <w:sz w:val="22"/>
          <w:szCs w:val="22"/>
        </w:rPr>
        <w:t xml:space="preserve">- Contratto agenzia convenzionata (esistente, da revisionare)</w:t>
      </w:r>
    </w:p>
    <w:p>
      <w:pPr>
        <w:spacing w:after="60"/>
        <w:ind w:left="480"/>
      </w:pPr>
      <w:r>
        <w:rPr>
          <w:rFonts w:ascii="Arial" w:cs="Arial" w:eastAsia="Arial" w:hAnsi="Arial"/>
          <w:b w:val="false"/>
          <w:bCs w:val="false"/>
          <w:sz w:val="22"/>
          <w:szCs w:val="22"/>
        </w:rPr>
        <w:t xml:space="preserve">- Termini di servizio acquirente (bozza gia predisposta, da validare)</w:t>
      </w:r>
    </w:p>
    <w:p>
      <w:pPr>
        <w:spacing w:after="60"/>
      </w:pPr>
    </w:p>
    <w:p>
      <w:pPr>
        <w:spacing w:after="120"/>
      </w:pPr>
      <w:r>
        <w:rPr>
          <w:rFonts w:ascii="Arial" w:cs="Arial" w:eastAsia="Arial" w:hAnsi="Arial"/>
          <w:b/>
          <w:bCs/>
          <w:sz w:val="22"/>
          <w:szCs w:val="22"/>
        </w:rPr>
        <w:t xml:space="preserve">3. CONFORMITA REGOLAMENTO P2B (UE 2019/1150)</w:t>
      </w:r>
    </w:p>
    <w:p>
      <w:pPr>
        <w:spacing w:after="60"/>
        <w:ind w:left="480"/>
      </w:pPr>
      <w:r>
        <w:rPr>
          <w:rFonts w:ascii="Arial" w:cs="Arial" w:eastAsia="Arial" w:hAnsi="Arial"/>
          <w:b w:val="false"/>
          <w:bCs w:val="false"/>
          <w:sz w:val="22"/>
          <w:szCs w:val="22"/>
        </w:rPr>
        <w:t xml:space="preserve">- Ho effettuato un'analisi preliminare del contratto agenzia e identificato 4 gap rispetto al Regolamento Platform-to-Business: mancano i criteri di ranking, il sistema reclami, la designazione del mediatore e la dichiarazione sul trattamento differenziato</w:t>
      </w:r>
    </w:p>
    <w:p>
      <w:pPr>
        <w:spacing w:after="60"/>
        <w:ind w:left="480"/>
      </w:pPr>
      <w:r>
        <w:rPr>
          <w:rFonts w:ascii="Arial" w:cs="Arial" w:eastAsia="Arial" w:hAnsi="Arial"/>
          <w:b w:val="false"/>
          <w:bCs w:val="false"/>
          <w:sz w:val="22"/>
          <w:szCs w:val="22"/>
        </w:rPr>
        <w:t xml:space="preserve">- Richiedo integrazione delle clausole mancanti</w:t>
      </w:r>
    </w:p>
    <w:p>
      <w:pPr>
        <w:spacing w:after="60"/>
      </w:pPr>
    </w:p>
    <w:p>
      <w:pPr>
        <w:spacing w:after="120"/>
      </w:pPr>
      <w:r>
        <w:rPr>
          <w:rFonts w:ascii="Arial" w:cs="Arial" w:eastAsia="Arial" w:hAnsi="Arial"/>
          <w:b/>
          <w:bCs/>
          <w:sz w:val="22"/>
          <w:szCs w:val="22"/>
        </w:rPr>
        <w:t xml:space="preserve">4. GDPR E COOKIE COMPLIANCE</w:t>
      </w:r>
    </w:p>
    <w:p>
      <w:pPr>
        <w:spacing w:after="60"/>
        <w:ind w:left="480"/>
      </w:pPr>
      <w:r>
        <w:rPr>
          <w:rFonts w:ascii="Arial" w:cs="Arial" w:eastAsia="Arial" w:hAnsi="Arial"/>
          <w:b w:val="false"/>
          <w:bCs w:val="false"/>
          <w:sz w:val="22"/>
          <w:szCs w:val="22"/>
        </w:rPr>
        <w:t xml:space="preserve">- Validazione del cookie banner implementato (consenso granulare a 3 categorie)</w:t>
      </w:r>
    </w:p>
    <w:p>
      <w:pPr>
        <w:spacing w:after="60"/>
        <w:ind w:left="480"/>
      </w:pPr>
      <w:r>
        <w:rPr>
          <w:rFonts w:ascii="Arial" w:cs="Arial" w:eastAsia="Arial" w:hAnsi="Arial"/>
          <w:b w:val="false"/>
          <w:bCs w:val="false"/>
          <w:sz w:val="22"/>
          <w:szCs w:val="22"/>
        </w:rPr>
        <w:t xml:space="preserve">- Verifica della dicitura su Google Analytics 4 alla luce del Provvedimento Garante del 09/06/2022</w:t>
      </w:r>
    </w:p>
    <w:p>
      <w:pPr>
        <w:spacing w:after="60"/>
        <w:ind w:left="480"/>
      </w:pPr>
      <w:r>
        <w:rPr>
          <w:rFonts w:ascii="Arial" w:cs="Arial" w:eastAsia="Arial" w:hAnsi="Arial"/>
          <w:b w:val="false"/>
          <w:bCs w:val="false"/>
          <w:sz w:val="22"/>
          <w:szCs w:val="22"/>
        </w:rPr>
        <w:t xml:space="preserve">- Revisione Privacy Policy</w:t>
      </w:r>
    </w:p>
    <w:p>
      <w:pPr>
        <w:spacing w:after="60"/>
        <w:ind w:left="480"/>
      </w:pPr>
      <w:r>
        <w:rPr>
          <w:rFonts w:ascii="Arial" w:cs="Arial" w:eastAsia="Arial" w:hAnsi="Arial"/>
          <w:b w:val="false"/>
          <w:bCs w:val="false"/>
          <w:sz w:val="22"/>
          <w:szCs w:val="22"/>
        </w:rPr>
        <w:t xml:space="preserve">- Predisposizione nomine a Responsabile del trattamento (DPA) per i fornitori tecnologici (Supabase, Vercel, Google, Stripe, Resend)</w:t>
      </w:r>
    </w:p>
    <w:p>
      <w:pPr>
        <w:spacing w:after="60"/>
        <w:ind w:left="480"/>
      </w:pPr>
      <w:r>
        <w:rPr>
          <w:rFonts w:ascii="Arial" w:cs="Arial" w:eastAsia="Arial" w:hAnsi="Arial"/>
          <w:b w:val="false"/>
          <w:bCs w:val="false"/>
          <w:sz w:val="22"/>
          <w:szCs w:val="22"/>
        </w:rPr>
        <w:t xml:space="preserve">- Valutazione necessita di un registro trattamenti e DPIA</w:t>
      </w:r>
    </w:p>
    <w:p>
      <w:pPr>
        <w:spacing w:after="60"/>
      </w:pPr>
    </w:p>
    <w:p>
      <w:pPr>
        <w:spacing w:after="120"/>
      </w:pPr>
      <w:r>
        <w:rPr>
          <w:rFonts w:ascii="Arial" w:cs="Arial" w:eastAsia="Arial" w:hAnsi="Arial"/>
          <w:b/>
          <w:bCs/>
          <w:sz w:val="22"/>
          <w:szCs w:val="22"/>
        </w:rPr>
        <w:t xml:space="preserve">5. CONFORMITA E-COMMERCE E CODICE DEL CONSUMO</w:t>
      </w:r>
    </w:p>
    <w:p>
      <w:pPr>
        <w:spacing w:after="60"/>
        <w:ind w:left="480"/>
      </w:pPr>
      <w:r>
        <w:rPr>
          <w:rFonts w:ascii="Arial" w:cs="Arial" w:eastAsia="Arial" w:hAnsi="Arial"/>
          <w:b w:val="false"/>
          <w:bCs w:val="false"/>
          <w:sz w:val="22"/>
          <w:szCs w:val="22"/>
        </w:rPr>
        <w:t xml:space="preserve">- Verifiche ex D.Lgs. 70/2003</w:t>
      </w:r>
    </w:p>
    <w:p>
      <w:pPr>
        <w:spacing w:after="60"/>
        <w:ind w:left="480"/>
      </w:pPr>
      <w:r>
        <w:rPr>
          <w:rFonts w:ascii="Arial" w:cs="Arial" w:eastAsia="Arial" w:hAnsi="Arial"/>
          <w:b w:val="false"/>
          <w:bCs w:val="false"/>
          <w:sz w:val="22"/>
          <w:szCs w:val="22"/>
        </w:rPr>
        <w:t xml:space="preserve">- Diritto di recesso per contratti a distanza</w:t>
      </w:r>
    </w:p>
    <w:p>
      <w:pPr>
        <w:spacing w:after="60"/>
        <w:ind w:left="480"/>
      </w:pPr>
      <w:r>
        <w:rPr>
          <w:rFonts w:ascii="Arial" w:cs="Arial" w:eastAsia="Arial" w:hAnsi="Arial"/>
          <w:b w:val="false"/>
          <w:bCs w:val="false"/>
          <w:sz w:val="22"/>
          <w:szCs w:val="22"/>
        </w:rPr>
        <w:t xml:space="preserve">- Clausole vessatorie artt. 1341-1342 c.c.</w:t>
      </w:r>
    </w:p>
    <w:p>
      <w:pPr>
        <w:spacing w:after="60"/>
      </w:pPr>
    </w:p>
    <w:p>
      <w:pPr>
        <w:spacing w:after="60"/>
      </w:pPr>
      <w:r>
        <w:rPr>
          <w:rFonts w:ascii="Arial" w:cs="Arial" w:eastAsia="Arial" w:hAnsi="Arial"/>
          <w:b w:val="false"/>
          <w:bCs w:val="false"/>
          <w:sz w:val="22"/>
          <w:szCs w:val="22"/>
        </w:rPr>
        <w:t xml:space="preserve">La piattaforma e gia sviluppata e in fase di pre-lancio. Tutti i contratti e il codice del cookie banner sono disponibili per la revisione.</w:t>
      </w:r>
    </w:p>
    <w:p>
      <w:pPr>
        <w:spacing w:after="60"/>
      </w:pPr>
    </w:p>
    <w:p>
      <w:pPr>
        <w:spacing w:after="60"/>
      </w:pPr>
      <w:r>
        <w:rPr>
          <w:rFonts w:ascii="Arial" w:cs="Arial" w:eastAsia="Arial" w:hAnsi="Arial"/>
          <w:b w:val="false"/>
          <w:bCs w:val="false"/>
          <w:sz w:val="22"/>
          <w:szCs w:val="22"/>
        </w:rPr>
        <w:t xml:space="preserve">Gradirei ricevere:</w:t>
      </w:r>
    </w:p>
    <w:p>
      <w:pPr>
        <w:spacing w:after="60"/>
      </w:pPr>
      <w:r>
        <w:rPr>
          <w:rFonts w:ascii="Arial" w:cs="Arial" w:eastAsia="Arial" w:hAnsi="Arial"/>
          <w:b w:val="false"/>
          <w:bCs w:val="false"/>
          <w:sz w:val="22"/>
          <w:szCs w:val="22"/>
        </w:rPr>
        <w:t xml:space="preserve">- Un preventivo dettagliato per l'intero pacchetto di consulenza</w:t>
      </w:r>
    </w:p>
    <w:p>
      <w:pPr>
        <w:spacing w:after="60"/>
      </w:pPr>
      <w:r>
        <w:rPr>
          <w:rFonts w:ascii="Arial" w:cs="Arial" w:eastAsia="Arial" w:hAnsi="Arial"/>
          <w:b w:val="false"/>
          <w:bCs w:val="false"/>
          <w:sz w:val="22"/>
          <w:szCs w:val="22"/>
        </w:rPr>
        <w:t xml:space="preserve">- La tempistica stimata per completare tutte le verifiche</w:t>
      </w:r>
    </w:p>
    <w:p>
      <w:pPr>
        <w:spacing w:after="60"/>
      </w:pPr>
      <w:r>
        <w:rPr>
          <w:rFonts w:ascii="Arial" w:cs="Arial" w:eastAsia="Arial" w:hAnsi="Arial"/>
          <w:b w:val="false"/>
          <w:bCs w:val="false"/>
          <w:sz w:val="22"/>
          <w:szCs w:val="22"/>
        </w:rPr>
        <w:t xml:space="preserve">- La possibilita di suddividere il lavoro in fasi (priorita: classificazione ATECO e contratti)</w:t>
      </w:r>
    </w:p>
    <w:p>
      <w:pPr>
        <w:spacing w:after="60"/>
      </w:pPr>
    </w:p>
    <w:p>
      <w:pPr>
        <w:spacing w:after="60"/>
      </w:pPr>
      <w:r>
        <w:rPr>
          <w:rFonts w:ascii="Arial" w:cs="Arial" w:eastAsia="Arial" w:hAnsi="Arial"/>
          <w:b w:val="false"/>
          <w:bCs w:val="false"/>
          <w:sz w:val="22"/>
          <w:szCs w:val="22"/>
        </w:rPr>
        <w:t xml:space="preserve">Resto a disposizione per una call conoscitiva e per condividere tutta la documentazione.</w:t>
      </w:r>
    </w:p>
    <w:p>
      <w:pPr>
        <w:spacing w:after="60"/>
      </w:pPr>
    </w:p>
    <w:p>
      <w:pPr>
        <w:spacing w:after="60"/>
      </w:pPr>
      <w:r>
        <w:rPr>
          <w:rFonts w:ascii="Arial" w:cs="Arial" w:eastAsia="Arial" w:hAnsi="Arial"/>
          <w:b w:val="false"/>
          <w:bCs w:val="false"/>
          <w:sz w:val="22"/>
          <w:szCs w:val="22"/>
        </w:rPr>
        <w:t xml:space="preserve">Cordiali saluti,</w:t>
      </w:r>
    </w:p>
    <w:p>
      <w:pPr>
        <w:spacing w:after="60"/>
      </w:pPr>
      <w:r>
        <w:rPr>
          <w:rFonts w:ascii="Arial" w:cs="Arial" w:eastAsia="Arial" w:hAnsi="Arial"/>
          <w:b w:val="false"/>
          <w:bCs w:val="false"/>
          <w:sz w:val="22"/>
          <w:szCs w:val="22"/>
        </w:rPr>
        <w:t xml:space="preserve">Federico</w:t>
      </w:r>
    </w:p>
    <w:p>
      <w:pPr>
        <w:spacing w:after="60"/>
      </w:pPr>
      <w:r>
        <w:rPr>
          <w:rFonts w:ascii="Arial" w:cs="Arial" w:eastAsia="Arial" w:hAnsi="Arial"/>
          <w:b w:val="false"/>
          <w:bCs w:val="false"/>
          <w:sz w:val="22"/>
          <w:szCs w:val="22"/>
        </w:rPr>
        <w:t xml:space="preserve">federico@mobiliferrero.com</w:t>
      </w:r>
    </w:p>
    <w:p>
      <w:pPr>
        <w:spacing w:after="60"/>
      </w:pPr>
      <w:r>
        <w:rPr>
          <w:rFonts w:ascii="Arial" w:cs="Arial" w:eastAsia="Arial" w:hAnsi="Arial"/>
          <w:b w:val="false"/>
          <w:bCs w:val="false"/>
          <w:sz w:val="22"/>
          <w:szCs w:val="22"/>
        </w:rPr>
        <w:t xml:space="preserve">Privatio - https://privatio.vercel.app</w:t>
      </w:r>
    </w:p>
    <w:p>
      <w:pPr>
        <w:spacing w:after="60"/>
      </w:pPr>
    </w:p>
    <w:p>
      <w:pPr>
        <w:pBdr>
          <w:top w:val="single" w:color="2E86C1" w:sz="4" w:space="8"/>
        </w:pBdr>
        <w:spacing w:before="300"/>
      </w:pPr>
      <w:r>
        <w:rPr>
          <w:rFonts w:ascii="Arial" w:cs="Arial" w:eastAsia="Arial" w:hAnsi="Arial"/>
          <w:b/>
          <w:bCs/>
          <w:color w:val="2E86C1"/>
          <w:sz w:val="20"/>
          <w:szCs w:val="20"/>
        </w:rPr>
        <w:t xml:space="preserve">NOTA: </w:t>
      </w:r>
      <w:r>
        <w:rPr>
          <w:rFonts w:ascii="Arial" w:cs="Arial" w:eastAsia="Arial" w:hAnsi="Arial"/>
          <w:color w:val="555555"/>
          <w:sz w:val="20"/>
          <w:szCs w:val="20"/>
        </w:rPr>
        <w:t xml:space="preserve">Personalizza l'email con il nome dell'avvocato e aggiungi i file in allegato: contratto venditore, contratto agenzia, termini acquirente (bozza), e il link al sito.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pPr>
    <w:r>
      <w:rPr>
        <w:rFonts w:ascii="Arial" w:cs="Arial" w:eastAsia="Arial" w:hAnsi="Arial"/>
        <w:b/>
        <w:bCs/>
        <w:color w:val="1B4F72"/>
        <w:sz w:val="18"/>
        <w:szCs w:val="18"/>
      </w:rPr>
      <w:t xml:space="preserve">PRIVATIO</w:t>
    </w:r>
    <w:r>
      <w:rPr>
        <w:rFonts w:ascii="Arial" w:cs="Arial" w:eastAsia="Arial" w:hAnsi="Arial"/>
        <w:color w:val="888888"/>
        <w:sz w:val="18"/>
        <w:szCs w:val="18"/>
      </w:rPr>
      <w:t xml:space="preserve">  |  Checklist Consulenza Legale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2026-03-28T18:36:35.255Z</dcterms:created>
  <dcterms:modified xsi:type="dcterms:W3CDTF">2026-03-28T18:36:35.255Z</dcterms:modified>
</cp:coreProperties>
</file>

<file path=docProps/custom.xml><?xml version="1.0" encoding="utf-8"?>
<Properties xmlns="http://schemas.openxmlformats.org/officeDocument/2006/custom-properties" xmlns:vt="http://schemas.openxmlformats.org/officeDocument/2006/docPropsVTypes"/>
</file>