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0077FF"/>
          <w:sz w:val="52"/>
          <w:szCs w:val="52"/>
        </w:rPr>
        <w:t xml:space="preserve">ANÁLISIS FUNCIONAL</w:t>
      </w:r>
    </w:p>
    <w:p>
      <w:pPr>
        <w:spacing w:after="80" w:before="0"/>
        <w:jc w:val="center"/>
      </w:pPr>
      <w:r>
        <w:rPr>
          <w:rFonts w:ascii="Arial" w:cs="Arial" w:eastAsia="Arial" w:hAnsi="Arial"/>
          <w:color w:val="333333"/>
          <w:sz w:val="36"/>
          <w:szCs w:val="36"/>
        </w:rPr>
        <w:t xml:space="preserve">Validador CSV – Nubceo</w:t>
      </w:r>
    </w:p>
    <w:p>
      <w:pPr>
        <w:spacing w:after="40" w:before="0"/>
        <w:jc w:val="center"/>
      </w:pPr>
      <w:r>
        <w:rPr>
          <w:rFonts w:ascii="Arial" w:cs="Arial" w:eastAsia="Arial" w:hAnsi="Arial"/>
          <w:i/>
          <w:iCs/>
          <w:color w:val="555555"/>
          <w:sz w:val="24"/>
          <w:szCs w:val="24"/>
        </w:rPr>
        <w:t xml:space="preserve">Herramienta de validación y preparación de archivos de ventas</w:t>
      </w:r>
    </w:p>
    <w:p>
      <w:pPr>
        <w:spacing w:after="80" w:before="80"/>
      </w:pPr>
      <w:r>
        <w:t xml:space="preserve"/>
      </w:r>
    </w:p>
    <w:p>
      <w:pPr>
        <w:spacing w:after="80" w:before="80"/>
        <w:jc w:val="center"/>
      </w:pPr>
      <w:r>
        <w:rPr>
          <w:rFonts w:ascii="Arial" w:cs="Arial" w:eastAsia="Arial" w:hAnsi="Arial"/>
          <w:color w:val="999999"/>
          <w:sz w:val="20"/>
          <w:szCs w:val="20"/>
        </w:rPr>
        <w:t xml:space="preserve">Autor: Federico Ciccarone  |  Versión: 1.0  |  Mayo 2025</w:t>
      </w:r>
    </w:p>
    <w:p>
      <w:pPr>
        <w:spacing w:after="80" w:before="80"/>
      </w:pPr>
      <w:r>
        <w:t xml:space="preserve"/>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1. Resumen Ejecutivo</w:t>
      </w:r>
    </w:p>
    <w:p>
      <w:pPr>
        <w:spacing w:after="80" w:before="80"/>
      </w:pPr>
      <w:r>
        <w:rPr>
          <w:rFonts w:ascii="Arial" w:cs="Arial" w:eastAsia="Arial" w:hAnsi="Arial"/>
          <w:color w:val="555555"/>
          <w:sz w:val="22"/>
          <w:szCs w:val="22"/>
        </w:rPr>
        <w:t xml:space="preserve">El Validador CSV es una aplicación web de escritorio desarrollada en Python que permite a los equipos de operaciones de Nubceo validar, corregir y preparar archivos CSV de ventas antes de su importación a la plataforma.</w:t>
      </w:r>
    </w:p>
    <w:p>
      <w:pPr>
        <w:spacing w:after="80" w:before="80"/>
      </w:pPr>
      <w:r>
        <w:t xml:space="preserve"/>
      </w:r>
    </w:p>
    <w:p>
      <w:pPr>
        <w:spacing w:after="80" w:before="80"/>
      </w:pPr>
      <w:r>
        <w:rPr>
          <w:rFonts w:ascii="Arial" w:cs="Arial" w:eastAsia="Arial" w:hAnsi="Arial"/>
          <w:color w:val="555555"/>
          <w:sz w:val="22"/>
          <w:szCs w:val="22"/>
        </w:rPr>
        <w:t xml:space="preserve">La herramienta resuelve tres problemas concretos del proceso de onboarding de nuevos clientes:</w:t>
      </w:r>
    </w:p>
    <w:p>
      <w:pPr>
        <w:pStyle w:val="ListParagraph"/>
        <w:numPr>
          <w:ilvl w:val="0"/>
          <w:numId w:val="2"/>
        </w:numPr>
        <w:spacing w:after="40" w:before="40"/>
      </w:pPr>
      <w:r>
        <w:rPr>
          <w:rFonts w:ascii="Arial" w:cs="Arial" w:eastAsia="Arial" w:hAnsi="Arial"/>
          <w:color w:val="555555"/>
          <w:sz w:val="22"/>
          <w:szCs w:val="22"/>
        </w:rPr>
        <w:t xml:space="preserve">Importaciones fallidas por errores de estructura o formato en los archivos CSV</w:t>
      </w:r>
    </w:p>
    <w:p>
      <w:pPr>
        <w:pStyle w:val="ListParagraph"/>
        <w:numPr>
          <w:ilvl w:val="0"/>
          <w:numId w:val="2"/>
        </w:numPr>
        <w:spacing w:after="40" w:before="40"/>
      </w:pPr>
      <w:r>
        <w:rPr>
          <w:rFonts w:ascii="Arial" w:cs="Arial" w:eastAsia="Arial" w:hAnsi="Arial"/>
          <w:color w:val="555555"/>
          <w:sz w:val="22"/>
          <w:szCs w:val="22"/>
        </w:rPr>
        <w:t xml:space="preserve">Tiempo elevado dedicado a correcciones manuales de datos antes de cada carga</w:t>
      </w:r>
    </w:p>
    <w:p>
      <w:pPr>
        <w:pStyle w:val="ListParagraph"/>
        <w:numPr>
          <w:ilvl w:val="0"/>
          <w:numId w:val="2"/>
        </w:numPr>
        <w:spacing w:after="40" w:before="40"/>
      </w:pPr>
      <w:r>
        <w:rPr>
          <w:rFonts w:ascii="Arial" w:cs="Arial" w:eastAsia="Arial" w:hAnsi="Arial"/>
          <w:color w:val="555555"/>
          <w:sz w:val="22"/>
          <w:szCs w:val="22"/>
        </w:rPr>
        <w:t xml:space="preserve">Ausencia de un proceso estandarizado de validación previo a la importación</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2. Contexto y Motivación</w:t>
      </w:r>
    </w:p>
    <w:p>
      <w:pPr>
        <w:spacing w:after="80" w:before="80"/>
      </w:pPr>
      <w:r>
        <w:rPr>
          <w:rFonts w:ascii="Arial" w:cs="Arial" w:eastAsia="Arial" w:hAnsi="Arial"/>
          <w:color w:val="555555"/>
          <w:sz w:val="22"/>
          <w:szCs w:val="22"/>
        </w:rPr>
        <w:t xml:space="preserve">Nubceo requiere que los archivos CSV de ventas cumplan con un formato estricto: separador punto y coma (;), codificación UTF-8, columnas en orden específico y valores validados en campos clave como tipo de pago, marca de tarjeta y montos.</w:t>
      </w:r>
    </w:p>
    <w:p>
      <w:pPr>
        <w:spacing w:after="80" w:before="80"/>
      </w:pPr>
      <w:r>
        <w:t xml:space="preserve"/>
      </w:r>
    </w:p>
    <w:p>
      <w:pPr>
        <w:spacing w:after="80" w:before="80"/>
      </w:pPr>
      <w:r>
        <w:rPr>
          <w:rFonts w:ascii="Arial" w:cs="Arial" w:eastAsia="Arial" w:hAnsi="Arial"/>
          <w:color w:val="555555"/>
          <w:sz w:val="22"/>
          <w:szCs w:val="22"/>
        </w:rPr>
        <w:t xml:space="preserve">Hasta la implementación de esta herramienta, el proceso de preparación de archivos era manual, propenso a errores y dependiente del conocimiento individual de cada operador sobre las reglas de importación de Nubceo.</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3. Objetivos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Objetivo</w:t>
            </w:r>
          </w:p>
        </w:tc>
        <w:tc>
          <w:tcPr>
            <w:tcW w:type="dxa" w:w="68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Validación automática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Detectar errores estructurales y de negocio antes de la importación</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Corrección asistida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Permitir al usuario corregir valores inválidos con sugerencias inteligentes</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Aprendizaje continuo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Recordar correcciones anteriores y reutilizarlas automáticamente</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Exportación lista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Generar el CSV en el formato exacto requerido por Nubceo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Trazabilidad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Exportar un Excel de auditoría con el detalle de errores encontrados</w:t>
            </w:r>
          </w:p>
        </w:tc>
      </w:tr>
    </w:tbl>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4. Usuarios del Sistema</w:t>
      </w:r>
    </w:p>
    <w:p>
      <w:pPr>
        <w:spacing w:after="80" w:before="80"/>
      </w:pPr>
      <w:r>
        <w:rPr>
          <w:rFonts w:ascii="Arial" w:cs="Arial" w:eastAsia="Arial" w:hAnsi="Arial"/>
          <w:color w:val="555555"/>
          <w:sz w:val="22"/>
          <w:szCs w:val="22"/>
        </w:rPr>
        <w:t xml:space="preserve">La aplicación está diseñada para usuarios operativos sin conocimientos técnicos de programación. Los perfiles de usuario identificados 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Perfil</w:t>
            </w:r>
          </w:p>
        </w:tc>
        <w:tc>
          <w:tcPr>
            <w:tcW w:type="dxa" w:w="68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Operador de Onboarding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Usuario principal. Prepara archivos CSV de nuevos clientes para importar en Nubceo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Analista de Datos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Usuario secundario. Puede utilizar la herramienta para validar volúmenes grandes de datos</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Soporte Técnico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Usuario eventual. Diagnóstica errores de importación reportados por clientes</w:t>
            </w:r>
          </w:p>
        </w:tc>
      </w:tr>
    </w:tbl>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5. Flujo de Uso Principal</w:t>
      </w:r>
    </w:p>
    <w:p>
      <w:pPr>
        <w:pStyle w:val="Heading2"/>
        <w:spacing w:after="120" w:before="280"/>
      </w:pPr>
      <w:r>
        <w:rPr>
          <w:rFonts w:ascii="Arial" w:cs="Arial" w:eastAsia="Arial" w:hAnsi="Arial"/>
          <w:b/>
          <w:bCs/>
          <w:color w:val="333333"/>
          <w:sz w:val="26"/>
          <w:szCs w:val="26"/>
        </w:rPr>
        <w:t xml:space="preserve">5.1 Carga del archivo</w:t>
      </w:r>
    </w:p>
    <w:p>
      <w:pPr>
        <w:spacing w:after="80" w:before="80"/>
      </w:pPr>
      <w:r>
        <w:rPr>
          <w:rFonts w:ascii="Arial" w:cs="Arial" w:eastAsia="Arial" w:hAnsi="Arial"/>
          <w:color w:val="555555"/>
          <w:sz w:val="22"/>
          <w:szCs w:val="22"/>
        </w:rPr>
        <w:t xml:space="preserve">El usuario accede a la aplicación a través del navegador web (localhost) y carga su archivo CSV mediante un componente de drag-and-drop o selección de archivo. La aplicación acepta únicamente archivos con extensión .csv y detecta automáticamente si la codificación es UTF-8 o Latin-1, convirtiendo en este último caso con advertencia al usuario.</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5.2 Mapeo de columnas</w:t>
      </w:r>
    </w:p>
    <w:p>
      <w:pPr>
        <w:spacing w:after="80" w:before="80"/>
      </w:pPr>
      <w:r>
        <w:rPr>
          <w:rFonts w:ascii="Arial" w:cs="Arial" w:eastAsia="Arial" w:hAnsi="Arial"/>
          <w:color w:val="555555"/>
          <w:sz w:val="22"/>
          <w:szCs w:val="22"/>
        </w:rPr>
        <w:t xml:space="preserve">Si el archivo contiene columnas con nombres distintos a los esperados por Nubceo, la aplicación muestra un asistente de mapeo inteligente. Utiliza algoritmos de similitud de texto (difflib) para sugerir automáticamente la columna más probable. El usuario puede confirmar, corregir o indicar que la columna no existe (en cuyo caso se crea vacía). Los mapeos pueden guardarse como perfiles reutilizables, identificados por nombre (por ejemplo: "Northville_Abril").</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5.3 Validación</w:t>
      </w:r>
    </w:p>
    <w:p>
      <w:pPr>
        <w:spacing w:after="80" w:before="80"/>
      </w:pPr>
      <w:r>
        <w:rPr>
          <w:rFonts w:ascii="Arial" w:cs="Arial" w:eastAsia="Arial" w:hAnsi="Arial"/>
          <w:color w:val="555555"/>
          <w:sz w:val="22"/>
          <w:szCs w:val="22"/>
        </w:rPr>
        <w:t xml:space="preserve">Una vez aplicado el mapeo, el usuario ejecuta la validación completa. La aplicación analiza cada fila del archivo y marca cada registro con estado OK o ERROR, adjuntando el detalle del error encontrado. Los resultados se muestran en una tabla interactiva con resumen de cantidades.</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5.4 Smart Fix</w:t>
      </w:r>
    </w:p>
    <w:p>
      <w:pPr>
        <w:spacing w:after="80" w:before="80"/>
      </w:pPr>
      <w:r>
        <w:rPr>
          <w:rFonts w:ascii="Arial" w:cs="Arial" w:eastAsia="Arial" w:hAnsi="Arial"/>
          <w:color w:val="555555"/>
          <w:sz w:val="22"/>
          <w:szCs w:val="22"/>
        </w:rPr>
        <w:t xml:space="preserve">Para los registros con errores corregibles, la aplicación presenta el módulo Smart Fix. El usuario puede ingresar el valor correcto para cada valor inválido detectado, aplicar la corrección de forma individual o masiva, y la aplicación guarda la corrección para reutilizarla automáticamente en archivos futuros.</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5.5 Reglas sugeridas</w:t>
      </w:r>
    </w:p>
    <w:p>
      <w:pPr>
        <w:spacing w:after="80" w:before="80"/>
      </w:pPr>
      <w:r>
        <w:rPr>
          <w:rFonts w:ascii="Arial" w:cs="Arial" w:eastAsia="Arial" w:hAnsi="Arial"/>
          <w:color w:val="555555"/>
          <w:sz w:val="22"/>
          <w:szCs w:val="22"/>
        </w:rPr>
        <w:t xml:space="preserve">La aplicación analiza la completitud de los campos clave del archivo y sugiere el perfil de reglas de importación más adecuado: Estricto, Intermedio o Flexible, indicando qué campos se usarán para el matching y qué tolerancias aplicarán.</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5.6 Exportación</w:t>
      </w:r>
    </w:p>
    <w:p>
      <w:pPr>
        <w:spacing w:after="80" w:before="80"/>
      </w:pPr>
      <w:r>
        <w:rPr>
          <w:rFonts w:ascii="Arial" w:cs="Arial" w:eastAsia="Arial" w:hAnsi="Arial"/>
          <w:color w:val="555555"/>
          <w:sz w:val="22"/>
          <w:szCs w:val="22"/>
        </w:rPr>
        <w:t xml:space="preserve">El usuario descarga dos archivos: el CSV listo para importar en Nubceo (UTF-8, separador ;, columnas en orden oficial) y un Excel de auditoría con dos hojas: el archivo completo validado y una hoja exclusiva con los registros en error.</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6. Funcionalidades Detalladas</w:t>
      </w:r>
    </w:p>
    <w:p>
      <w:pPr>
        <w:shd w:fill="E8F3FF" w:val="clear"/>
        <w:spacing w:after="120" w:before="320"/>
      </w:pPr>
      <w:r>
        <w:rPr>
          <w:rFonts w:ascii="Arial" w:cs="Arial" w:eastAsia="Arial" w:hAnsi="Arial"/>
          <w:b/>
          <w:bCs/>
          <w:color w:val="0077FF"/>
          <w:sz w:val="24"/>
          <w:szCs w:val="24"/>
        </w:rPr>
        <w:t xml:space="preserve">  6.1 Validaciones Estructurales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Validación</w:t>
            </w:r>
          </w:p>
        </w:tc>
        <w:tc>
          <w:tcPr>
            <w:tcW w:type="dxa" w:w="55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Severidad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Columnas obligatorias</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presencia de: ID de venta, Fecha, Monto bruto venta, Tipo de pago</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Columnas esperadas</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presencia de las 35 columnas del layout oficial Nubceo</w:t>
            </w:r>
          </w:p>
        </w:tc>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Warning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Columnas duplicadas</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Detecta y elimina automáticamente columnas con el mismo nombre</w:t>
            </w:r>
          </w:p>
        </w:tc>
        <w:tc>
          <w:tcPr>
            <w:tcW w:type="dxa" w:w="20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OK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Columnas unnamed</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Elimina automáticamente columnas vacías generadas por Excel</w:t>
            </w:r>
          </w:p>
        </w:tc>
        <w:tc>
          <w:tcPr>
            <w:tcW w:type="dxa" w:w="2000"/>
            <w:tcBorders>
              <w:top w:val="single" w:color="CCCCCC" w:sz="1"/>
              <w:left w:val="single" w:color="CCCCCC" w:sz="1"/>
              <w:bottom w:val="single" w:color="CCCCCC" w:sz="1"/>
              <w:right w:val="single" w:color="CCCCCC" w:sz="1"/>
            </w:tcBorders>
            <w:shd w:fill="D6F5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OK</w:t>
            </w:r>
          </w:p>
        </w:tc>
      </w:tr>
    </w:tbl>
    <w:p>
      <w:pPr>
        <w:spacing w:after="80" w:before="80"/>
      </w:pPr>
      <w:r>
        <w:t xml:space="preserve"/>
      </w:r>
    </w:p>
    <w:p>
      <w:pPr>
        <w:shd w:fill="E8F3FF" w:val="clear"/>
        <w:spacing w:after="120" w:before="320"/>
      </w:pPr>
      <w:r>
        <w:rPr>
          <w:rFonts w:ascii="Arial" w:cs="Arial" w:eastAsia="Arial" w:hAnsi="Arial"/>
          <w:b/>
          <w:bCs/>
          <w:color w:val="0077FF"/>
          <w:sz w:val="24"/>
          <w:szCs w:val="24"/>
        </w:rPr>
        <w:t xml:space="preserve">  6.2 Validaciones de Negocio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Validación</w:t>
            </w:r>
          </w:p>
        </w:tc>
        <w:tc>
          <w:tcPr>
            <w:tcW w:type="dxa" w:w="55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Severidad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Fecha</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el campo Fecha sea parseable como fecha válida</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CUIT</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el campo CUIT no esté vacío</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Monto bruto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el Monto bruto venta no esté vacío o sea nulo</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Tipo de pago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el valor pertenezca a: cash, debit, credit, qr, wallet</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Marca de tarjeta</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Solo válida para pagos CREDIT/DEBIT; verifica contra 57 marcas válidas</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Platform code</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el código pertenezca a la lista oficial por país</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Tipo de documento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contra: invoice, creditNote, chargeback, adjustment</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bl>
    <w:p>
      <w:pPr>
        <w:spacing w:after="80" w:before="80"/>
      </w:pPr>
      <w:r>
        <w:t xml:space="preserve"/>
      </w:r>
    </w:p>
    <w:p>
      <w:pPr>
        <w:shd w:fill="E8F3FF" w:val="clear"/>
        <w:spacing w:after="120" w:before="320"/>
      </w:pPr>
      <w:r>
        <w:rPr>
          <w:rFonts w:ascii="Arial" w:cs="Arial" w:eastAsia="Arial" w:hAnsi="Arial"/>
          <w:b/>
          <w:bCs/>
          <w:color w:val="0077FF"/>
          <w:sz w:val="24"/>
          <w:szCs w:val="24"/>
        </w:rPr>
        <w:t xml:space="preserve">  6.3 Validaciones Contables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Validación</w:t>
            </w:r>
          </w:p>
        </w:tc>
        <w:tc>
          <w:tcPr>
            <w:tcW w:type="dxa" w:w="55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Severidad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Neto + Impuestos = Bruto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la ecuación con tolerancia de $1 para diferencias de redondeo</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Impuestos = 0 con Neto = Bruto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Detecta el caso donde impuestos está vacío y el neto iguala al bruto</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Campos vacíos contables</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Neto, Impuestos y Bruto no estén vacíos simultáneamente</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bl>
    <w:p>
      <w:pPr>
        <w:spacing w:after="80" w:before="80"/>
      </w:pPr>
      <w:r>
        <w:t xml:space="preserve"/>
      </w:r>
    </w:p>
    <w:p>
      <w:pPr>
        <w:shd w:fill="E8F3FF" w:val="clear"/>
        <w:spacing w:after="120" w:before="320"/>
      </w:pPr>
      <w:r>
        <w:rPr>
          <w:rFonts w:ascii="Arial" w:cs="Arial" w:eastAsia="Arial" w:hAnsi="Arial"/>
          <w:b/>
          <w:bCs/>
          <w:color w:val="0077FF"/>
          <w:sz w:val="24"/>
          <w:szCs w:val="24"/>
        </w:rPr>
        <w:t xml:space="preserve">  6.4 Validaciones de Multipago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Validación</w:t>
            </w:r>
          </w:p>
        </w:tc>
        <w:tc>
          <w:tcPr>
            <w:tcW w:type="dxa" w:w="55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Severidad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ID de pago duplicado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Detecta cuando una venta tiene múltiples pagos con el mismo ID de pago</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0"/>
                <w:szCs w:val="20"/>
              </w:rPr>
              <w:t xml:space="preserve">Descuadre en multipago</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Verifica que la suma de Monto bruto pago iguale al Monto bruto venta</w:t>
            </w:r>
          </w:p>
        </w:tc>
        <w:tc>
          <w:tcPr>
            <w:tcW w:type="dxa" w:w="2000"/>
            <w:tcBorders>
              <w:top w:val="single" w:color="CCCCCC" w:sz="1"/>
              <w:left w:val="single" w:color="CCCCCC" w:sz="1"/>
              <w:bottom w:val="single" w:color="CCCCCC" w:sz="1"/>
              <w:right w:val="single" w:color="CCCCCC" w:sz="1"/>
            </w:tcBorders>
            <w:shd w:fill="FFD6D6" w:val="clear"/>
            <w:tcMar>
              <w:top w:type="dxa" w:w="80"/>
              <w:left w:type="dxa" w:w="140"/>
              <w:bottom w:type="dxa" w:w="80"/>
              <w:right w:type="dxa" w:w="140"/>
            </w:tcMar>
          </w:tcPr>
          <w:p>
            <w:pPr>
              <w:jc w:val="center"/>
            </w:pPr>
            <w:r>
              <w:rPr>
                <w:rFonts w:ascii="Arial" w:cs="Arial" w:eastAsia="Arial" w:hAnsi="Arial"/>
                <w:b/>
                <w:bCs/>
                <w:color w:val="333333"/>
                <w:sz w:val="20"/>
                <w:szCs w:val="20"/>
              </w:rPr>
              <w:t xml:space="preserve">🔴 Error</w:t>
            </w:r>
          </w:p>
        </w:tc>
      </w:tr>
    </w:tbl>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7. Sistema Smart Fix</w:t>
      </w:r>
    </w:p>
    <w:p>
      <w:pPr>
        <w:spacing w:after="80" w:before="80"/>
      </w:pPr>
      <w:r>
        <w:rPr>
          <w:rFonts w:ascii="Arial" w:cs="Arial" w:eastAsia="Arial" w:hAnsi="Arial"/>
          <w:color w:val="555555"/>
          <w:sz w:val="22"/>
          <w:szCs w:val="22"/>
        </w:rPr>
        <w:t xml:space="preserve">El Smart Fix es el módulo de corrección asistida de la aplicación. Su objetivo es reducir el trabajo manual del operador al detectar automáticamente valores inválidos en campos clave y proponer correcciones basadas en el historial de correcciones anteriores.</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7.1 Campos soportados en la versión actual</w:t>
      </w:r>
    </w:p>
    <w:p>
      <w:pPr>
        <w:pStyle w:val="ListParagraph"/>
        <w:numPr>
          <w:ilvl w:val="0"/>
          <w:numId w:val="2"/>
        </w:numPr>
        <w:spacing w:after="40" w:before="40"/>
      </w:pPr>
      <w:r>
        <w:rPr>
          <w:rFonts w:ascii="Arial" w:cs="Arial" w:eastAsia="Arial" w:hAnsi="Arial"/>
          <w:color w:val="555555"/>
          <w:sz w:val="22"/>
          <w:szCs w:val="22"/>
        </w:rPr>
        <w:t xml:space="preserve">Tipo de pago: detecta valores como DEBITO, CRÉDITO, EFECTIVO y sugiere la traducción correcta</w:t>
      </w:r>
    </w:p>
    <w:p>
      <w:pPr>
        <w:pStyle w:val="ListParagraph"/>
        <w:numPr>
          <w:ilvl w:val="0"/>
          <w:numId w:val="2"/>
        </w:numPr>
        <w:spacing w:after="40" w:before="40"/>
      </w:pPr>
      <w:r>
        <w:rPr>
          <w:rFonts w:ascii="Arial" w:cs="Arial" w:eastAsia="Arial" w:hAnsi="Arial"/>
          <w:color w:val="555555"/>
          <w:sz w:val="22"/>
          <w:szCs w:val="22"/>
        </w:rPr>
        <w:t xml:space="preserve">Marca de tarjeta: detecta nombres no oficiales y permite mapearlos a la marca válida</w:t>
      </w:r>
    </w:p>
    <w:p>
      <w:pPr>
        <w:pStyle w:val="ListParagraph"/>
        <w:numPr>
          <w:ilvl w:val="0"/>
          <w:numId w:val="2"/>
        </w:numPr>
        <w:spacing w:after="40" w:before="40"/>
      </w:pPr>
      <w:r>
        <w:rPr>
          <w:rFonts w:ascii="Arial" w:cs="Arial" w:eastAsia="Arial" w:hAnsi="Arial"/>
          <w:color w:val="555555"/>
          <w:sz w:val="22"/>
          <w:szCs w:val="22"/>
        </w:rPr>
        <w:t xml:space="preserve">Correcciones contables: detecta el patrón Neto = Bruto con Impuestos vacío y propone Impuestos = 0</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7.2 Mecanismo de aprendizaje</w:t>
      </w:r>
    </w:p>
    <w:p>
      <w:pPr>
        <w:spacing w:after="80" w:before="80"/>
      </w:pPr>
      <w:r>
        <w:rPr>
          <w:rFonts w:ascii="Arial" w:cs="Arial" w:eastAsia="Arial" w:hAnsi="Arial"/>
          <w:color w:val="555555"/>
          <w:sz w:val="22"/>
          <w:szCs w:val="22"/>
        </w:rPr>
        <w:t xml:space="preserve">Cada corrección confirmada por el usuario se guarda en el archivo aprendizajes.json. La próxima vez que la aplicación encuentre el mismo valor inválido en el mismo campo, muestra automáticamente la corrección anterior como sugerencia, ahorrando tiempo al operador.</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7.3 Aplicación masiva</w:t>
      </w:r>
    </w:p>
    <w:p>
      <w:pPr>
        <w:spacing w:after="80" w:before="80"/>
      </w:pPr>
      <w:r>
        <w:rPr>
          <w:rFonts w:ascii="Arial" w:cs="Arial" w:eastAsia="Arial" w:hAnsi="Arial"/>
          <w:color w:val="555555"/>
          <w:sz w:val="22"/>
          <w:szCs w:val="22"/>
        </w:rPr>
        <w:t xml:space="preserve">Por defecto, las correcciones se aplican de forma masiva a todas las filas del archivo que contengan el mismo valor inválido. El usuario puede desactivar esta opción para corregir únicamente la primera ocurrencia.</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8. Perfiles de Importación</w:t>
      </w:r>
    </w:p>
    <w:p>
      <w:pPr>
        <w:spacing w:after="80" w:before="80"/>
      </w:pPr>
      <w:r>
        <w:rPr>
          <w:rFonts w:ascii="Arial" w:cs="Arial" w:eastAsia="Arial" w:hAnsi="Arial"/>
          <w:color w:val="555555"/>
          <w:sz w:val="22"/>
          <w:szCs w:val="22"/>
        </w:rPr>
        <w:t xml:space="preserve">Los perfiles de importación permiten guardar y reutilizar configuraciones de mapeo de columnas. Son especialmente útiles para clientes que envían archivos recurrentes con la misma estructura no estándar.</w:t>
      </w:r>
    </w:p>
    <w:p>
      <w:pPr>
        <w:spacing w:after="8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Los perfiles se guardan como archivos JSON en la carpeta perfiles/</w:t>
      </w:r>
    </w:p>
    <w:p>
      <w:pPr>
        <w:pStyle w:val="ListParagraph"/>
        <w:numPr>
          <w:ilvl w:val="0"/>
          <w:numId w:val="2"/>
        </w:numPr>
        <w:spacing w:after="40" w:before="40"/>
      </w:pPr>
      <w:r>
        <w:rPr>
          <w:rFonts w:ascii="Arial" w:cs="Arial" w:eastAsia="Arial" w:hAnsi="Arial"/>
          <w:color w:val="555555"/>
          <w:sz w:val="22"/>
          <w:szCs w:val="22"/>
        </w:rPr>
        <w:t xml:space="preserve">El operador asigna un nombre descriptivo al perfil al momento de guardarlo</w:t>
      </w:r>
    </w:p>
    <w:p>
      <w:pPr>
        <w:pStyle w:val="ListParagraph"/>
        <w:numPr>
          <w:ilvl w:val="0"/>
          <w:numId w:val="2"/>
        </w:numPr>
        <w:spacing w:after="40" w:before="40"/>
      </w:pPr>
      <w:r>
        <w:rPr>
          <w:rFonts w:ascii="Arial" w:cs="Arial" w:eastAsia="Arial" w:hAnsi="Arial"/>
          <w:color w:val="555555"/>
          <w:sz w:val="22"/>
          <w:szCs w:val="22"/>
        </w:rPr>
        <w:t xml:space="preserve">En futuras cargas del mismo cliente, puede seleccionar el perfil guardado para aplicar el mapeo automáticamente</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9. Sugeridor de Reglas de Importación</w:t>
      </w:r>
    </w:p>
    <w:p>
      <w:pPr>
        <w:spacing w:after="80" w:before="80"/>
      </w:pPr>
      <w:r>
        <w:rPr>
          <w:rFonts w:ascii="Arial" w:cs="Arial" w:eastAsia="Arial" w:hAnsi="Arial"/>
          <w:color w:val="555555"/>
          <w:sz w:val="22"/>
          <w:szCs w:val="22"/>
        </w:rPr>
        <w:t xml:space="preserve">La aplicación analiza la completitud de los campos clave del archivo y sugiere el perfil de reglas más adecuado para la importación en Nubceo. Los tres perfiles disponibles 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Perfil</w:t>
            </w:r>
          </w:p>
        </w:tc>
        <w:tc>
          <w:tcPr>
            <w:tcW w:type="dxa" w:w="68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Estricto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Requiere completitud mayor al 80% en voucher, autorización, tarjeta, marca y tipo de pago. Sin tolerancia en montos.</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Intermedio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Requiere completitud mayor al 70% en cupón, marca y tipo. Tolerancia de $1-2 en montos y ±24hs en fechas.</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Flexible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Aplica siempre. Usa monto y fecha como campos base. Puede incluir referencia externa si está disponible.</w:t>
            </w:r>
          </w:p>
        </w:tc>
      </w:tr>
    </w:tbl>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10. Exportación de Resultados</w:t>
      </w:r>
    </w:p>
    <w:p>
      <w:pPr>
        <w:pStyle w:val="Heading2"/>
        <w:spacing w:after="120" w:before="280"/>
      </w:pPr>
      <w:r>
        <w:rPr>
          <w:rFonts w:ascii="Arial" w:cs="Arial" w:eastAsia="Arial" w:hAnsi="Arial"/>
          <w:b/>
          <w:bCs/>
          <w:color w:val="333333"/>
          <w:sz w:val="26"/>
          <w:szCs w:val="26"/>
        </w:rPr>
        <w:t xml:space="preserve">10.1 CSV para Nubceo</w:t>
      </w:r>
    </w:p>
    <w:p>
      <w:pPr>
        <w:pStyle w:val="ListParagraph"/>
        <w:numPr>
          <w:ilvl w:val="0"/>
          <w:numId w:val="2"/>
        </w:numPr>
        <w:spacing w:after="40" w:before="40"/>
      </w:pPr>
      <w:r>
        <w:rPr>
          <w:rFonts w:ascii="Arial" w:cs="Arial" w:eastAsia="Arial" w:hAnsi="Arial"/>
          <w:color w:val="555555"/>
          <w:sz w:val="22"/>
          <w:szCs w:val="22"/>
        </w:rPr>
        <w:t xml:space="preserve">Codificación: UTF-8 con BOM (utf-8-sig)</w:t>
      </w:r>
    </w:p>
    <w:p>
      <w:pPr>
        <w:pStyle w:val="ListParagraph"/>
        <w:numPr>
          <w:ilvl w:val="0"/>
          <w:numId w:val="2"/>
        </w:numPr>
        <w:spacing w:after="40" w:before="40"/>
      </w:pPr>
      <w:r>
        <w:rPr>
          <w:rFonts w:ascii="Arial" w:cs="Arial" w:eastAsia="Arial" w:hAnsi="Arial"/>
          <w:color w:val="555555"/>
          <w:sz w:val="22"/>
          <w:szCs w:val="22"/>
        </w:rPr>
        <w:t xml:space="preserve">Separador: punto y coma (;)</w:t>
      </w:r>
    </w:p>
    <w:p>
      <w:pPr>
        <w:pStyle w:val="ListParagraph"/>
        <w:numPr>
          <w:ilvl w:val="0"/>
          <w:numId w:val="2"/>
        </w:numPr>
        <w:spacing w:after="40" w:before="40"/>
      </w:pPr>
      <w:r>
        <w:rPr>
          <w:rFonts w:ascii="Arial" w:cs="Arial" w:eastAsia="Arial" w:hAnsi="Arial"/>
          <w:color w:val="555555"/>
          <w:sz w:val="22"/>
          <w:szCs w:val="22"/>
        </w:rPr>
        <w:t xml:space="preserve">Columnas: en el orden exacto requerido por el layout oficial de Nubceo (35 columnas)</w:t>
      </w:r>
    </w:p>
    <w:p>
      <w:pPr>
        <w:pStyle w:val="ListParagraph"/>
        <w:numPr>
          <w:ilvl w:val="0"/>
          <w:numId w:val="2"/>
        </w:numPr>
        <w:spacing w:after="40" w:before="40"/>
      </w:pPr>
      <w:r>
        <w:rPr>
          <w:rFonts w:ascii="Arial" w:cs="Arial" w:eastAsia="Arial" w:hAnsi="Arial"/>
          <w:color w:val="555555"/>
          <w:sz w:val="22"/>
          <w:szCs w:val="22"/>
        </w:rPr>
        <w:t xml:space="preserve">Columnas internas: estado y detalle_error se excluyen del CSV exportado</w:t>
      </w:r>
    </w:p>
    <w:p>
      <w:pPr>
        <w:spacing w:after="80" w:before="80"/>
      </w:pPr>
      <w:r>
        <w:t xml:space="preserve"/>
      </w:r>
    </w:p>
    <w:p>
      <w:pPr>
        <w:pStyle w:val="Heading2"/>
        <w:spacing w:after="120" w:before="280"/>
      </w:pPr>
      <w:r>
        <w:rPr>
          <w:rFonts w:ascii="Arial" w:cs="Arial" w:eastAsia="Arial" w:hAnsi="Arial"/>
          <w:b/>
          <w:bCs/>
          <w:color w:val="333333"/>
          <w:sz w:val="26"/>
          <w:szCs w:val="26"/>
        </w:rPr>
        <w:t xml:space="preserve">10.2 Excel de auditoría</w:t>
      </w:r>
    </w:p>
    <w:p>
      <w:pPr>
        <w:pStyle w:val="ListParagraph"/>
        <w:numPr>
          <w:ilvl w:val="0"/>
          <w:numId w:val="2"/>
        </w:numPr>
        <w:spacing w:after="40" w:before="40"/>
      </w:pPr>
      <w:r>
        <w:rPr>
          <w:rFonts w:ascii="Arial" w:cs="Arial" w:eastAsia="Arial" w:hAnsi="Arial"/>
          <w:color w:val="555555"/>
          <w:sz w:val="22"/>
          <w:szCs w:val="22"/>
        </w:rPr>
        <w:t xml:space="preserve">Hoja Nubceo: archivo completo con todos los campos</w:t>
      </w:r>
    </w:p>
    <w:p>
      <w:pPr>
        <w:pStyle w:val="ListParagraph"/>
        <w:numPr>
          <w:ilvl w:val="0"/>
          <w:numId w:val="2"/>
        </w:numPr>
        <w:spacing w:after="40" w:before="40"/>
      </w:pPr>
      <w:r>
        <w:rPr>
          <w:rFonts w:ascii="Arial" w:cs="Arial" w:eastAsia="Arial" w:hAnsi="Arial"/>
          <w:color w:val="555555"/>
          <w:sz w:val="22"/>
          <w:szCs w:val="22"/>
        </w:rPr>
        <w:t xml:space="preserve">Hoja Errores: filtro automático de los registros con estado ERROR</w:t>
      </w:r>
    </w:p>
    <w:p>
      <w:pPr>
        <w:pStyle w:val="ListParagraph"/>
        <w:numPr>
          <w:ilvl w:val="0"/>
          <w:numId w:val="2"/>
        </w:numPr>
        <w:spacing w:after="40" w:before="40"/>
      </w:pPr>
      <w:r>
        <w:rPr>
          <w:rFonts w:ascii="Arial" w:cs="Arial" w:eastAsia="Arial" w:hAnsi="Arial"/>
          <w:color w:val="555555"/>
          <w:sz w:val="22"/>
          <w:szCs w:val="22"/>
        </w:rPr>
        <w:t xml:space="preserve">Facilita la revisión posterior y la comunicación con el cliente sobre los errores encontrados</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11. Roadmap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b/>
                <w:bCs/>
                <w:color w:val="FFFFFF"/>
                <w:sz w:val="20"/>
                <w:szCs w:val="20"/>
              </w:rPr>
              <w:t xml:space="preserve">Funcionalidad</w:t>
            </w:r>
          </w:p>
        </w:tc>
        <w:tc>
          <w:tcPr>
            <w:tcW w:type="dxa" w:w="6860"/>
            <w:tcBorders>
              <w:top w:val="single" w:color="CCCCCC" w:sz="1"/>
              <w:left w:val="single" w:color="CCCCCC" w:sz="1"/>
              <w:bottom w:val="single" w:color="CCCCCC" w:sz="1"/>
              <w:right w:val="single" w:color="CCCCCC" w:sz="1"/>
            </w:tcBorders>
            <w:shd w:fill="0077FF" w:val="clear"/>
            <w:tcMar>
              <w:top w:type="dxa" w:w="100"/>
              <w:left w:type="dxa" w:w="140"/>
              <w:bottom w:type="dxa" w:w="100"/>
              <w:right w:type="dxa" w:w="140"/>
            </w:tcMar>
          </w:tcPr>
          <w:p>
            <w:r>
              <w:rPr>
                <w:rFonts w:ascii="Arial" w:cs="Arial" w:eastAsia="Arial" w:hAnsi="Arial"/>
                <w:color w:val="FFFFFF"/>
                <w:sz w:val="20"/>
                <w:szCs w:val="20"/>
              </w:rPr>
              <w:t xml:space="preserve">Estado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Smart Fix de fechas (formatos no estándar)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Smart Fix de monedas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Reglas automáticas avanzadas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Publicación web (acceso sin instalación)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Integración directa con API de Nubceo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Historial de correcciones por cliente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r>
        <w:tc>
          <w:tcPr>
            <w:tcW w:type="dxa" w:w="25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r>
              <w:rPr>
                <w:rFonts w:ascii="Arial" w:cs="Arial" w:eastAsia="Arial" w:hAnsi="Arial"/>
                <w:b/>
                <w:bCs/>
                <w:color w:val="333333"/>
                <w:sz w:val="20"/>
                <w:szCs w:val="20"/>
              </w:rPr>
              <w:t xml:space="preserve">Dashboard de validaciones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Planificado</w:t>
            </w:r>
          </w:p>
        </w:tc>
      </w:tr>
    </w:tbl>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12. Limitaciones de la Versión Actual</w:t>
      </w:r>
    </w:p>
    <w:p>
      <w:pPr>
        <w:pStyle w:val="ListParagraph"/>
        <w:numPr>
          <w:ilvl w:val="0"/>
          <w:numId w:val="2"/>
        </w:numPr>
        <w:spacing w:after="40" w:before="40"/>
      </w:pPr>
      <w:r>
        <w:rPr>
          <w:rFonts w:ascii="Arial" w:cs="Arial" w:eastAsia="Arial" w:hAnsi="Arial"/>
          <w:color w:val="555555"/>
          <w:sz w:val="22"/>
          <w:szCs w:val="22"/>
        </w:rPr>
        <w:t xml:space="preserve">La aplicación corre localmente; requiere instalación en cada equipo</w:t>
      </w:r>
    </w:p>
    <w:p>
      <w:pPr>
        <w:pStyle w:val="ListParagraph"/>
        <w:numPr>
          <w:ilvl w:val="0"/>
          <w:numId w:val="2"/>
        </w:numPr>
        <w:spacing w:after="40" w:before="40"/>
      </w:pPr>
      <w:r>
        <w:rPr>
          <w:rFonts w:ascii="Arial" w:cs="Arial" w:eastAsia="Arial" w:hAnsi="Arial"/>
          <w:color w:val="555555"/>
          <w:sz w:val="22"/>
          <w:szCs w:val="22"/>
        </w:rPr>
        <w:t xml:space="preserve">Los aprendizajes se guardan localmente; no se comparten entre usuarios</w:t>
      </w:r>
    </w:p>
    <w:p>
      <w:pPr>
        <w:pStyle w:val="ListParagraph"/>
        <w:numPr>
          <w:ilvl w:val="0"/>
          <w:numId w:val="2"/>
        </w:numPr>
        <w:spacing w:after="40" w:before="40"/>
      </w:pPr>
      <w:r>
        <w:rPr>
          <w:rFonts w:ascii="Arial" w:cs="Arial" w:eastAsia="Arial" w:hAnsi="Arial"/>
          <w:color w:val="555555"/>
          <w:sz w:val="22"/>
          <w:szCs w:val="22"/>
        </w:rPr>
        <w:t xml:space="preserve">Los perfiles de importación son locales a cada instalación</w:t>
      </w:r>
    </w:p>
    <w:p>
      <w:pPr>
        <w:pStyle w:val="ListParagraph"/>
        <w:numPr>
          <w:ilvl w:val="0"/>
          <w:numId w:val="2"/>
        </w:numPr>
        <w:spacing w:after="40" w:before="40"/>
      </w:pPr>
      <w:r>
        <w:rPr>
          <w:rFonts w:ascii="Arial" w:cs="Arial" w:eastAsia="Arial" w:hAnsi="Arial"/>
          <w:color w:val="555555"/>
          <w:sz w:val="22"/>
          <w:szCs w:val="22"/>
        </w:rPr>
        <w:t xml:space="preserve">No hay autenticación ni control de acceso</w:t>
      </w:r>
    </w:p>
    <w:p>
      <w:pPr>
        <w:pStyle w:val="ListParagraph"/>
        <w:numPr>
          <w:ilvl w:val="0"/>
          <w:numId w:val="2"/>
        </w:numPr>
        <w:spacing w:after="40" w:before="40"/>
      </w:pPr>
      <w:r>
        <w:rPr>
          <w:rFonts w:ascii="Arial" w:cs="Arial" w:eastAsia="Arial" w:hAnsi="Arial"/>
          <w:color w:val="555555"/>
          <w:sz w:val="22"/>
          <w:szCs w:val="22"/>
        </w:rPr>
        <w:t xml:space="preserve">No hay registro de auditoría de quién realizó qué correcciones</w:t>
      </w:r>
    </w:p>
    <w:p>
      <w:pPr>
        <w:spacing w:after="80" w:before="80"/>
      </w:pPr>
      <w:r>
        <w:t xml:space="preserve"/>
      </w:r>
    </w:p>
    <w:p>
      <w:pPr>
        <w:pStyle w:val="Heading1"/>
        <w:pBdr>
          <w:bottom w:val="single" w:color="0077FF" w:sz="6" w:space="6"/>
        </w:pBdr>
        <w:spacing w:after="160" w:before="360"/>
      </w:pPr>
      <w:r>
        <w:rPr>
          <w:rFonts w:ascii="Arial" w:cs="Arial" w:eastAsia="Arial" w:hAnsi="Arial"/>
          <w:b/>
          <w:bCs/>
          <w:color w:val="0077FF"/>
          <w:sz w:val="32"/>
          <w:szCs w:val="32"/>
        </w:rPr>
        <w:t xml:space="preserve">13. Conclusión</w:t>
      </w:r>
    </w:p>
    <w:p>
      <w:pPr>
        <w:spacing w:after="80" w:before="80"/>
      </w:pPr>
      <w:r>
        <w:rPr>
          <w:rFonts w:ascii="Arial" w:cs="Arial" w:eastAsia="Arial" w:hAnsi="Arial"/>
          <w:color w:val="555555"/>
          <w:sz w:val="22"/>
          <w:szCs w:val="22"/>
        </w:rPr>
        <w:t xml:space="preserve">El Validador CSV cubre una necesidad operativa concreta del equipo de Nubceo, automatizando un proceso que anteriormente era completamente manual. La herramienta está lista para uso productivo en su versión actual y tiene un roadmap claro hacia una versión web multiusuario con mayor nivel de automatización e integración con la plataforma.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right"/>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FF" w:sz="4" w:space="6"/>
      </w:pBdr>
    </w:pPr>
    <w:r>
      <w:rPr>
        <w:rFonts w:ascii="Arial" w:cs="Arial" w:eastAsia="Arial" w:hAnsi="Arial"/>
        <w:b/>
        <w:bCs/>
        <w:color w:val="0077FF"/>
        <w:sz w:val="18"/>
        <w:szCs w:val="18"/>
      </w:rPr>
      <w:t xml:space="preserve">Validador CSV  |  Nubceo</w:t>
    </w:r>
    <w:r>
      <w:rPr>
        <w:rFonts w:ascii="Arial" w:cs="Arial" w:eastAsia="Arial" w:hAnsi="Arial"/>
        <w:color w:val="999999"/>
        <w:sz w:val="18"/>
        <w:szCs w:val="18"/>
      </w:rPr>
      <w:t xml:space="preserve">          Análisis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77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2026-05-14T15:42:13.273Z</dcterms:created>
  <dcterms:modified xsi:type="dcterms:W3CDTF">2026-05-14T15:42:13.273Z</dcterms:modified>
</cp:coreProperties>
</file>

<file path=docProps/custom.xml><?xml version="1.0" encoding="utf-8"?>
<Properties xmlns="http://schemas.openxmlformats.org/officeDocument/2006/custom-properties" xmlns:vt="http://schemas.openxmlformats.org/officeDocument/2006/docPropsVTypes"/>
</file>