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5m0sjy14iw" w:id="0"/>
      <w:bookmarkEnd w:id="0"/>
      <w:r w:rsidDel="00000000" w:rsidR="00000000" w:rsidRPr="00000000">
        <w:rPr>
          <w:rtl w:val="0"/>
        </w:rPr>
        <w:t xml:space="preserve">Project Sumup: Sorting robot with a twist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algorithm that allows a robot arm to identify and sort objects (e.g., colored cubes) into designated bins based on their color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Panda robot manipulator and assume to know the color of the objects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detected object 𝑖: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picking position 𝐩pick,𝑖 and the placing position 𝐩place,𝑖 based on the object’s color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inverse kinematics to obtain the rob configurations 𝐪pick,𝑖 and 𝐪place,𝑖 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strategies to compare: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Joint-space trajectory interpolation: move from pick to place positions using interpolated joint trajectories between qpick,𝑖 and qplace,𝑖 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Resolved-rate motion control: Use Cartesian velocity control to reach pick and place poses smoothly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Analysis: plot and compare trajectories for both strategies (joint and Cartesian space), analyze end-effector path smoothness, execution time, and sorting accuracy.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Extra steps: mock a camera so that the robot has to find the location and colour of the spheres based on visual input. The sensing could be done in two ways: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of OpenCV to process the camera image, using HSV color masking to find the pixel coordinates of each berry.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Convolutional Neural Network that takes the raw camera image as direct input, and is trained to learn its own policy for “seeing” the berries.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