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5C8B"/>
          <w:sz w:val="96"/>
          <w:szCs w:val="96"/>
        </w:rPr>
        <w:t xml:space="preserve">OTC</w:t>
      </w:r>
    </w:p>
    <w:p>
      <w:pPr>
        <w:spacing w:after="80"/>
        <w:jc w:val="center"/>
      </w:pPr>
      <w:r>
        <w:rPr>
          <w:rFonts w:ascii="Arial" w:cs="Arial" w:eastAsia="Arial" w:hAnsi="Arial"/>
          <w:b/>
          <w:bCs/>
          <w:color w:val="1A1A2E"/>
          <w:sz w:val="40"/>
          <w:szCs w:val="40"/>
        </w:rPr>
        <w:t xml:space="preserve">Open Tourism Commerce</w:t>
      </w:r>
    </w:p>
    <w:p>
      <w:pPr>
        <w:spacing w:after="600"/>
        <w:jc w:val="center"/>
      </w:pPr>
      <w:r>
        <w:rPr>
          <w:rFonts w:ascii="Arial" w:cs="Arial" w:eastAsia="Arial" w:hAnsi="Arial"/>
          <w:i/>
          <w:iCs/>
          <w:color w:val="666666"/>
          <w:sz w:val="24"/>
          <w:szCs w:val="24"/>
        </w:rPr>
        <w:t xml:space="preserve">Plataforma de Comercialización Turística Descentralizada</w:t>
      </w:r>
    </w:p>
    <w:p>
      <w:pPr>
        <w:spacing w:after="200"/>
        <w:jc w:val="center"/>
      </w:pPr>
      <w:r>
        <w:rPr>
          <w:rFonts w:ascii="Arial" w:cs="Arial" w:eastAsia="Arial" w:hAnsi="Arial"/>
          <w:b/>
          <w:bCs/>
          <w:color w:val="FFFFFF"/>
          <w:sz w:val="48"/>
          <w:szCs w:val="48"/>
        </w:rPr>
        <w:t xml:space="preserve">INVESTIGACIÓN DE MERCADO</w:t>
      </w:r>
    </w:p>
    <w:p>
      <w:pPr>
        <w:spacing w:after="400"/>
        <w:jc w:val="center"/>
      </w:pPr>
      <w:r>
        <w:rPr>
          <w:rFonts w:ascii="Arial" w:cs="Arial" w:eastAsia="Arial" w:hAnsi="Arial"/>
          <w:color w:val="666666"/>
          <w:sz w:val="24"/>
          <w:szCs w:val="24"/>
        </w:rPr>
        <w:t xml:space="preserve">Mendoza, Argentina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5E8F0" w:val="clear"/>
            <w:tcMar>
              <w:top w:type="dxa" w:w="120"/>
              <w:left w:type="dxa" w:w="140"/>
              <w:bottom w:type="dxa" w:w="120"/>
              <w:right w:type="dxa" w:w="140"/>
            </w:tcMar>
            <w:vAlign w:val="center"/>
          </w:tcPr>
          <w:p>
            <w:pPr>
              <w:spacing w:after="40"/>
              <w:jc w:val="center"/>
            </w:pPr>
            <w:r>
              <w:rPr>
                <w:rFonts w:ascii="Arial" w:cs="Arial" w:eastAsia="Arial" w:hAnsi="Arial"/>
                <w:b/>
                <w:bCs/>
                <w:color w:val="1F5C8B"/>
                <w:sz w:val="36"/>
                <w:szCs w:val="36"/>
              </w:rPr>
              <w:t xml:space="preserve">3.7M</w:t>
            </w:r>
          </w:p>
          <w:p>
            <w:pPr>
              <w:spacing w:after="40"/>
              <w:jc w:val="center"/>
            </w:pPr>
            <w:r>
              <w:rPr>
                <w:rFonts w:ascii="Arial" w:cs="Arial" w:eastAsia="Arial" w:hAnsi="Arial"/>
                <w:b/>
                <w:bCs/>
                <w:color w:val="1A1A2E"/>
                <w:sz w:val="18"/>
                <w:szCs w:val="18"/>
              </w:rPr>
              <w:t xml:space="preserve">Visitantes Mendoza 2024</w:t>
            </w:r>
          </w:p>
          <w:p>
            <w:pPr>
              <w:jc w:val="center"/>
            </w:pPr>
            <w:r>
              <w:rPr>
                <w:rFonts w:ascii="Arial" w:cs="Arial" w:eastAsia="Arial" w:hAnsi="Arial"/>
                <w:color w:val="666666"/>
                <w:sz w:val="16"/>
                <w:szCs w:val="16"/>
              </w:rPr>
              <w:t xml:space="preserve">+15.9% en 2025</w:t>
            </w:r>
          </w:p>
        </w:tc>
        <w:tc>
          <w:tcPr>
            <w:tcW w:type="dxa" w:w="2340"/>
            <w:tcBorders>
              <w:top w:val="none" w:color="FFFFFF" w:sz="0"/>
              <w:left w:val="none" w:color="FFFFFF" w:sz="0"/>
              <w:bottom w:val="none" w:color="FFFFFF" w:sz="0"/>
              <w:right w:val="none" w:color="FFFFFF" w:sz="0"/>
            </w:tcBorders>
            <w:shd w:fill="D5E8F0" w:val="clear"/>
            <w:tcMar>
              <w:top w:type="dxa" w:w="120"/>
              <w:left w:type="dxa" w:w="140"/>
              <w:bottom w:type="dxa" w:w="120"/>
              <w:right w:type="dxa" w:w="140"/>
            </w:tcMar>
            <w:vAlign w:val="center"/>
          </w:tcPr>
          <w:p>
            <w:pPr>
              <w:spacing w:after="40"/>
              <w:jc w:val="center"/>
            </w:pPr>
            <w:r>
              <w:rPr>
                <w:rFonts w:ascii="Arial" w:cs="Arial" w:eastAsia="Arial" w:hAnsi="Arial"/>
                <w:b/>
                <w:bCs/>
                <w:color w:val="1F5C8B"/>
                <w:sz w:val="36"/>
                <w:szCs w:val="36"/>
              </w:rPr>
              <w:t xml:space="preserve">230</w:t>
            </w:r>
          </w:p>
          <w:p>
            <w:pPr>
              <w:spacing w:after="40"/>
              <w:jc w:val="center"/>
            </w:pPr>
            <w:r>
              <w:rPr>
                <w:rFonts w:ascii="Arial" w:cs="Arial" w:eastAsia="Arial" w:hAnsi="Arial"/>
                <w:b/>
                <w:bCs/>
                <w:color w:val="1A1A2E"/>
                <w:sz w:val="18"/>
                <w:szCs w:val="18"/>
              </w:rPr>
              <w:t xml:space="preserve">Bodegas Abiertas</w:t>
            </w:r>
          </w:p>
          <w:p>
            <w:pPr>
              <w:jc w:val="center"/>
            </w:pPr>
            <w:r>
              <w:rPr>
                <w:rFonts w:ascii="Arial" w:cs="Arial" w:eastAsia="Arial" w:hAnsi="Arial"/>
                <w:color w:val="666666"/>
                <w:sz w:val="16"/>
                <w:szCs w:val="16"/>
              </w:rPr>
              <w:t xml:space="preserve">+57.5% desde 2018</w:t>
            </w:r>
          </w:p>
        </w:tc>
        <w:tc>
          <w:tcPr>
            <w:tcW w:type="dxa" w:w="2340"/>
            <w:tcBorders>
              <w:top w:val="none" w:color="FFFFFF" w:sz="0"/>
              <w:left w:val="none" w:color="FFFFFF" w:sz="0"/>
              <w:bottom w:val="none" w:color="FFFFFF" w:sz="0"/>
              <w:right w:val="none" w:color="FFFFFF" w:sz="0"/>
            </w:tcBorders>
            <w:shd w:fill="D5E8F0" w:val="clear"/>
            <w:tcMar>
              <w:top w:type="dxa" w:w="120"/>
              <w:left w:type="dxa" w:w="140"/>
              <w:bottom w:type="dxa" w:w="120"/>
              <w:right w:type="dxa" w:w="140"/>
            </w:tcMar>
            <w:vAlign w:val="center"/>
          </w:tcPr>
          <w:p>
            <w:pPr>
              <w:spacing w:after="40"/>
              <w:jc w:val="center"/>
            </w:pPr>
            <w:r>
              <w:rPr>
                <w:rFonts w:ascii="Arial" w:cs="Arial" w:eastAsia="Arial" w:hAnsi="Arial"/>
                <w:b/>
                <w:bCs/>
                <w:color w:val="1F5C8B"/>
                <w:sz w:val="36"/>
                <w:szCs w:val="36"/>
              </w:rPr>
              <w:t xml:space="preserve">USD 185B</w:t>
            </w:r>
          </w:p>
          <w:p>
            <w:pPr>
              <w:spacing w:after="40"/>
              <w:jc w:val="center"/>
            </w:pPr>
            <w:r>
              <w:rPr>
                <w:rFonts w:ascii="Arial" w:cs="Arial" w:eastAsia="Arial" w:hAnsi="Arial"/>
                <w:b/>
                <w:bCs/>
                <w:color w:val="1A1A2E"/>
                <w:sz w:val="18"/>
                <w:szCs w:val="18"/>
              </w:rPr>
              <w:t xml:space="preserve">Mercado Global T&amp;A</w:t>
            </w:r>
          </w:p>
          <w:p>
            <w:pPr>
              <w:jc w:val="center"/>
            </w:pPr>
            <w:r>
              <w:rPr>
                <w:rFonts w:ascii="Arial" w:cs="Arial" w:eastAsia="Arial" w:hAnsi="Arial"/>
                <w:color w:val="666666"/>
                <w:sz w:val="16"/>
                <w:szCs w:val="16"/>
              </w:rPr>
              <w:t xml:space="preserve">CAGR 7.51%</w:t>
            </w:r>
          </w:p>
        </w:tc>
        <w:tc>
          <w:tcPr>
            <w:tcW w:type="dxa" w:w="2340"/>
            <w:tcBorders>
              <w:top w:val="none" w:color="FFFFFF" w:sz="0"/>
              <w:left w:val="none" w:color="FFFFFF" w:sz="0"/>
              <w:bottom w:val="none" w:color="FFFFFF" w:sz="0"/>
              <w:right w:val="none" w:color="FFFFFF" w:sz="0"/>
            </w:tcBorders>
            <w:shd w:fill="D5E8F0" w:val="clear"/>
            <w:tcMar>
              <w:top w:type="dxa" w:w="120"/>
              <w:left w:type="dxa" w:w="140"/>
              <w:bottom w:type="dxa" w:w="120"/>
              <w:right w:type="dxa" w:w="140"/>
            </w:tcMar>
            <w:vAlign w:val="center"/>
          </w:tcPr>
          <w:p>
            <w:pPr>
              <w:spacing w:after="40"/>
              <w:jc w:val="center"/>
            </w:pPr>
            <w:r>
              <w:rPr>
                <w:rFonts w:ascii="Arial" w:cs="Arial" w:eastAsia="Arial" w:hAnsi="Arial"/>
                <w:b/>
                <w:bCs/>
                <w:color w:val="1F5C8B"/>
                <w:sz w:val="36"/>
                <w:szCs w:val="36"/>
              </w:rPr>
              <w:t xml:space="preserve">20-30%</w:t>
            </w:r>
          </w:p>
          <w:p>
            <w:pPr>
              <w:spacing w:after="40"/>
              <w:jc w:val="center"/>
            </w:pPr>
            <w:r>
              <w:rPr>
                <w:rFonts w:ascii="Arial" w:cs="Arial" w:eastAsia="Arial" w:hAnsi="Arial"/>
                <w:b/>
                <w:bCs/>
                <w:color w:val="1A1A2E"/>
                <w:sz w:val="18"/>
                <w:szCs w:val="18"/>
              </w:rPr>
              <w:t xml:space="preserve">Comisión OTAs</w:t>
            </w:r>
          </w:p>
          <w:p>
            <w:pPr>
              <w:jc w:val="center"/>
            </w:pPr>
            <w:r>
              <w:rPr>
                <w:rFonts w:ascii="Arial" w:cs="Arial" w:eastAsia="Arial" w:hAnsi="Arial"/>
                <w:color w:val="666666"/>
                <w:sz w:val="16"/>
                <w:szCs w:val="16"/>
              </w:rPr>
              <w:t xml:space="preserve">Viator / GYG</w:t>
            </w:r>
          </w:p>
        </w:tc>
      </w:tr>
    </w:tbl>
    <w:p>
      <w:r>
        <w:br w:type="page"/>
      </w:r>
    </w:p>
    <w:sdt>
      <w:sdtPr>
        <w:alias w:val="Tabla de Contenidos"/>
      </w:sdtPr>
      <w:sdtContent>
        <w:p>
          <w:r>
            <w:fldChar w:fldCharType="begin" w:dirty="true"/>
            <w:instrText xml:space="preserve">TOC \h \o "1-3"</w:instrText>
            <w:fldChar w:fldCharType="separate"/>
          </w:r>
        </w:p>
        <w:p>
          <w:r>
            <w:fldChar w:fldCharType="end"/>
          </w:r>
        </w:p>
      </w:sdtContent>
    </w:sdt>
    <w:p>
      <w:pPr>
        <w:pStyle w:val="Heading1"/>
        <w:pBdr>
          <w:bottom w:val="single" w:color="1F5C8B" w:sz="6" w:space="4"/>
        </w:pBdr>
        <w:spacing w:after="200" w:before="360"/>
      </w:pPr>
      <w:r>
        <w:rPr>
          <w:rFonts w:ascii="Arial" w:cs="Arial" w:eastAsia="Arial" w:hAnsi="Arial"/>
          <w:b/>
          <w:bCs/>
          <w:color w:val="1F5C8B"/>
          <w:sz w:val="32"/>
          <w:szCs w:val="32"/>
        </w:rPr>
        <w:t xml:space="preserve">1. Resumen Ejecutivo</w:t>
      </w:r>
    </w:p>
    <w:p>
      <w:pPr>
        <w:spacing w:after="160"/>
        <w:jc w:val="both"/>
      </w:pPr>
      <w:r>
        <w:rPr>
          <w:rFonts w:ascii="Arial" w:cs="Arial" w:eastAsia="Arial" w:hAnsi="Arial"/>
          <w:sz w:val="22"/>
          <w:szCs w:val="22"/>
        </w:rPr>
        <w:t xml:space="preserve">Este documento presenta una investigación de mercado exhaustiva que sustenta la viabilidad comercial de OTC (Open Tourism Commerce), una plataforma tecnológica que democratiza la comercialización de experiencias turísticas en Mendoza, Argentina, y con proyección regional latinoamericana.</w:t>
      </w:r>
    </w:p>
    <w:p>
      <w:pPr>
        <w:spacing w:after="160"/>
        <w:jc w:val="both"/>
      </w:pPr>
      <w:r>
        <w:rPr>
          <w:rFonts w:ascii="Arial" w:cs="Arial" w:eastAsia="Arial" w:hAnsi="Arial"/>
          <w:sz w:val="22"/>
          <w:szCs w:val="22"/>
        </w:rPr>
        <w:t xml:space="preserve">OTC se posiciona en la intersección de tres mercados en crecimiento: el turismo experiencial global (USD 360 mil millones en 2025), la economía freelance argentina (3.8 millones de trabajadores independientes) y el enoturismo mendocino (USD 56 millones anuales). La plataforma resuelve una ineficiencia estructural: los intermediarios digitales actuales capturan entre el 20% y el 30% del valor de cada transacción, mientras que los pequeños operadores locales carecen de canales de distribución escalables.</w:t>
      </w:r>
    </w:p>
    <w:p>
      <w:pPr>
        <w:spacing w:after="160"/>
        <w:jc w:val="both"/>
      </w:pPr>
      <w:r>
        <w:rPr>
          <w:rFonts w:ascii="Arial" w:cs="Arial" w:eastAsia="Arial" w:hAnsi="Arial"/>
          <w:sz w:val="22"/>
          <w:szCs w:val="22"/>
        </w:rPr>
        <w:t xml:space="preserve">Los hallazgos de esta investigación demuestran que existe una ventana de oportunidad significativa para un modelo híbrido que convierta a personas comunes —influencers, guías, emprendedores— en vendedores de turismo, utilizando blockchain como infraestructura para automatizar pagos y comisiones.</w:t>
      </w:r>
    </w:p>
    <w:p>
      <w:r>
        <w:br w:type="page"/>
      </w:r>
    </w:p>
    <w:p>
      <w:pPr>
        <w:pStyle w:val="Heading1"/>
        <w:pBdr>
          <w:bottom w:val="single" w:color="1F5C8B" w:sz="6" w:space="4"/>
        </w:pBdr>
        <w:spacing w:after="200" w:before="360"/>
      </w:pPr>
      <w:r>
        <w:rPr>
          <w:rFonts w:ascii="Arial" w:cs="Arial" w:eastAsia="Arial" w:hAnsi="Arial"/>
          <w:b/>
          <w:bCs/>
          <w:color w:val="1F5C8B"/>
          <w:sz w:val="32"/>
          <w:szCs w:val="32"/>
        </w:rPr>
        <w:t xml:space="preserve">2. Turismo en Mendoza</w:t>
      </w:r>
    </w:p>
    <w:p>
      <w:pPr>
        <w:pStyle w:val="Heading2"/>
        <w:spacing w:after="140" w:before="280"/>
      </w:pPr>
      <w:r>
        <w:rPr>
          <w:rFonts w:ascii="Arial" w:cs="Arial" w:eastAsia="Arial" w:hAnsi="Arial"/>
          <w:b/>
          <w:bCs/>
          <w:color w:val="1A1A2E"/>
          <w:sz w:val="26"/>
          <w:szCs w:val="26"/>
        </w:rPr>
        <w:t xml:space="preserve">2.1 Panorama General</w:t>
      </w:r>
    </w:p>
    <w:p>
      <w:pPr>
        <w:spacing w:after="160"/>
        <w:jc w:val="both"/>
      </w:pPr>
      <w:r>
        <w:rPr>
          <w:rFonts w:ascii="Arial" w:cs="Arial" w:eastAsia="Arial" w:hAnsi="Arial"/>
          <w:sz w:val="22"/>
          <w:szCs w:val="22"/>
        </w:rPr>
        <w:t xml:space="preserve">Mendoza es la cuarta provincia de Argentina por población y su capital turística más dinámica. Reconocida mundialmente por sus vinos Malbec, los Andes, el turismo aventura y la ruta del vino, concentra una oferta turística única que la posiciona como un destino de clase mundial.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w:t>
            </w:r>
          </w:p>
        </w:tc>
        <w:tc>
          <w:tcPr>
            <w:tcW w:type="dxa" w:w="4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Dato</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Visitantes totales 2024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3.7 millones de turistas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Crecimiento enero 2025 vs enero 2024</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+15.87% (374.000 visitantes)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Ocupación hotelera promedio (enero 2025)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62%</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Ocupación vacaciones de invierno 2025</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Ingresos turismo vacaciones invierno 2025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ARS $120.675 millones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Estadía promedio</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4.7 días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Gasto diario por persona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ARS $80.000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Turistas internacionales</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42.8% del total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Principales orígenes internacionales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Brasil, EE.UU., Chile, México, Canadá</w:t>
            </w:r>
          </w:p>
        </w:tc>
      </w:tr>
    </w:tbl>
    <w:p>
      <w:pPr>
        <w:pStyle w:val="Heading2"/>
        <w:spacing w:after="140" w:before="280"/>
      </w:pPr>
      <w:r>
        <w:rPr>
          <w:rFonts w:ascii="Arial" w:cs="Arial" w:eastAsia="Arial" w:hAnsi="Arial"/>
          <w:b/>
          <w:bCs/>
          <w:color w:val="1A1A2E"/>
          <w:sz w:val="26"/>
          <w:szCs w:val="26"/>
        </w:rPr>
        <w:t xml:space="preserve">2.2 Enoturismo: El Activo Diferencial de Mendoza</w:t>
      </w:r>
    </w:p>
    <w:p>
      <w:pPr>
        <w:spacing w:after="160"/>
        <w:jc w:val="both"/>
      </w:pPr>
      <w:r>
        <w:rPr>
          <w:rFonts w:ascii="Arial" w:cs="Arial" w:eastAsia="Arial" w:hAnsi="Arial"/>
          <w:sz w:val="22"/>
          <w:szCs w:val="22"/>
        </w:rPr>
        <w:t xml:space="preserve">Mendoza concentra el 71.8% de las bodegas de Argentina y lidera el enoturismo latinoamericano. Este segmento es de especial relevancia para OTC dado que representa un nicho de alto valor y bajo nivel de digitalización en su distribución.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 Enoturismo</w:t>
            </w:r>
          </w:p>
        </w:tc>
        <w:tc>
          <w:tcPr>
            <w:tcW w:type="dxa" w:w="4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Dato 2024</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 bodegas en Mendoza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876 (71.8% del país)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Bodegas abiertas al turismo</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230 (+57.5% vs 2018)</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Visitantes enoturismo 2024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1.590.567 (+27.78% vs 2018)</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Ingresos en dólares</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56 millones anuales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Gasto promedio por visitante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36.02 por persona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Visita con degustación</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18.60 por persona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Experiencia gastronómica premium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66.60 por persona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Empleos en enoturismo 2024</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2.404 (+204.9% vs 2018)</w:t>
            </w:r>
          </w:p>
        </w:tc>
      </w:tr>
    </w:tbl>
    <w:p>
      <w:pPr>
        <w:spacing w:after="160"/>
        <w:jc w:val="both"/>
      </w:pPr>
      <w:r>
        <w:rPr>
          <w:rFonts w:ascii="Arial" w:cs="Arial" w:eastAsia="Arial" w:hAnsi="Arial"/>
          <w:sz w:val="22"/>
          <w:szCs w:val="22"/>
        </w:rPr>
        <w:t xml:space="preserve">El crecimiento del 57.5% en bodegas abiertas al turismo en 6 años refleja una demanda genuina y sostenida. Sin embargo, la mayoría de estas bodegas—especialmente las pequeñas y medianas—no tienen capacidad para gestionar su propia distribución digital eficientemente. Aquí es donde OTC encuentra su primera oportunidad concreta.</w:t>
      </w:r>
    </w:p>
    <w:p>
      <w:pPr>
        <w:pStyle w:val="Heading2"/>
        <w:spacing w:after="140" w:before="280"/>
      </w:pPr>
      <w:r>
        <w:rPr>
          <w:rFonts w:ascii="Arial" w:cs="Arial" w:eastAsia="Arial" w:hAnsi="Arial"/>
          <w:b/>
          <w:bCs/>
          <w:color w:val="1A1A2E"/>
          <w:sz w:val="26"/>
          <w:szCs w:val="26"/>
        </w:rPr>
        <w:t xml:space="preserve">2.3 Distribución Geográfica de la Oferta</w:t>
      </w:r>
    </w:p>
    <w:p>
      <w:pPr>
        <w:pStyle w:val="ListParagraph"/>
        <w:numPr>
          <w:ilvl w:val="0"/>
          <w:numId w:val="2"/>
        </w:numPr>
        <w:spacing w:after="100"/>
      </w:pPr>
      <w:r>
        <w:rPr>
          <w:rFonts w:ascii="Arial" w:cs="Arial" w:eastAsia="Arial" w:hAnsi="Arial"/>
          <w:b/>
          <w:bCs/>
          <w:sz w:val="22"/>
          <w:szCs w:val="22"/>
        </w:rPr>
        <w:t xml:space="preserve">Principal zona enoturística: </w:t>
      </w:r>
      <w:r>
        <w:rPr>
          <w:rFonts w:ascii="Arial" w:cs="Arial" w:eastAsia="Arial" w:hAnsi="Arial"/>
          <w:sz w:val="22"/>
          <w:szCs w:val="22"/>
        </w:rPr>
        <w:t xml:space="preserve">Luján de Cuyo</w:t>
      </w:r>
    </w:p>
    <w:p>
      <w:pPr>
        <w:pStyle w:val="ListParagraph"/>
        <w:numPr>
          <w:ilvl w:val="0"/>
          <w:numId w:val="2"/>
        </w:numPr>
        <w:spacing w:after="100"/>
      </w:pPr>
      <w:r>
        <w:rPr>
          <w:rFonts w:ascii="Arial" w:cs="Arial" w:eastAsia="Arial" w:hAnsi="Arial"/>
          <w:b/>
          <w:bCs/>
          <w:sz w:val="22"/>
          <w:szCs w:val="22"/>
        </w:rPr>
        <w:t xml:space="preserve">50 bodegas, experiencias premium: </w:t>
      </w:r>
      <w:r>
        <w:rPr>
          <w:rFonts w:ascii="Arial" w:cs="Arial" w:eastAsia="Arial" w:hAnsi="Arial"/>
          <w:sz w:val="22"/>
          <w:szCs w:val="22"/>
        </w:rPr>
        <w:t xml:space="preserve">Valle de Uco</w:t>
      </w:r>
    </w:p>
    <w:p>
      <w:pPr>
        <w:pStyle w:val="ListParagraph"/>
        <w:numPr>
          <w:ilvl w:val="0"/>
          <w:numId w:val="2"/>
        </w:numPr>
        <w:spacing w:after="100"/>
      </w:pPr>
      <w:r>
        <w:rPr>
          <w:rFonts w:ascii="Arial" w:cs="Arial" w:eastAsia="Arial" w:hAnsi="Arial"/>
          <w:b/>
          <w:bCs/>
          <w:sz w:val="22"/>
          <w:szCs w:val="22"/>
        </w:rPr>
        <w:t xml:space="preserve">42 bodegas, turismo de proximidad: </w:t>
      </w:r>
      <w:r>
        <w:rPr>
          <w:rFonts w:ascii="Arial" w:cs="Arial" w:eastAsia="Arial" w:hAnsi="Arial"/>
          <w:sz w:val="22"/>
          <w:szCs w:val="22"/>
        </w:rPr>
        <w:t xml:space="preserve">Maipú</w:t>
      </w:r>
    </w:p>
    <w:p>
      <w:pPr>
        <w:pStyle w:val="ListParagraph"/>
        <w:numPr>
          <w:ilvl w:val="0"/>
          <w:numId w:val="2"/>
        </w:numPr>
        <w:spacing w:after="100"/>
      </w:pPr>
      <w:r>
        <w:rPr>
          <w:rFonts w:ascii="Arial" w:cs="Arial" w:eastAsia="Arial" w:hAnsi="Arial"/>
          <w:b/>
          <w:bCs/>
          <w:sz w:val="22"/>
          <w:szCs w:val="22"/>
        </w:rPr>
        <w:t xml:space="preserve">33 bodegas, mercado en crecimiento: </w:t>
      </w:r>
      <w:r>
        <w:rPr>
          <w:rFonts w:ascii="Arial" w:cs="Arial" w:eastAsia="Arial" w:hAnsi="Arial"/>
          <w:sz w:val="22"/>
          <w:szCs w:val="22"/>
        </w:rPr>
        <w:t xml:space="preserve">Zona Sur (San Rafael)</w:t>
      </w:r>
    </w:p>
    <w:p>
      <w:pPr>
        <w:pStyle w:val="ListParagraph"/>
        <w:numPr>
          <w:ilvl w:val="0"/>
          <w:numId w:val="2"/>
        </w:numPr>
        <w:spacing w:after="100"/>
      </w:pPr>
      <w:r>
        <w:rPr>
          <w:rFonts w:ascii="Arial" w:cs="Arial" w:eastAsia="Arial" w:hAnsi="Arial"/>
          <w:b/>
          <w:bCs/>
          <w:sz w:val="22"/>
          <w:szCs w:val="22"/>
        </w:rPr>
        <w:t xml:space="preserve">Turismo aventura y naturaleza: </w:t>
      </w:r>
      <w:r>
        <w:rPr>
          <w:rFonts w:ascii="Arial" w:cs="Arial" w:eastAsia="Arial" w:hAnsi="Arial"/>
          <w:sz w:val="22"/>
          <w:szCs w:val="22"/>
        </w:rPr>
        <w:t xml:space="preserve">Alta Montaña / Potrerillos</w:t>
      </w:r>
    </w:p>
    <w:p>
      <w:pPr>
        <w:pStyle w:val="Heading2"/>
        <w:spacing w:after="140" w:before="280"/>
      </w:pPr>
      <w:r>
        <w:rPr>
          <w:rFonts w:ascii="Arial" w:cs="Arial" w:eastAsia="Arial" w:hAnsi="Arial"/>
          <w:b/>
          <w:bCs/>
          <w:color w:val="1A1A2E"/>
          <w:sz w:val="26"/>
          <w:szCs w:val="26"/>
        </w:rPr>
        <w:t xml:space="preserve">2.4 Tendencias y Oportunidades</w:t>
      </w:r>
    </w:p>
    <w:p>
      <w:pPr>
        <w:pStyle w:val="ListParagraph"/>
        <w:numPr>
          <w:ilvl w:val="0"/>
          <w:numId w:val="2"/>
        </w:numPr>
        <w:spacing w:after="100"/>
      </w:pPr>
      <w:r>
        <w:rPr>
          <w:rFonts w:ascii="Arial" w:cs="Arial" w:eastAsia="Arial" w:hAnsi="Arial"/>
          <w:sz w:val="22"/>
          <w:szCs w:val="22"/>
        </w:rPr>
        <w:t xml:space="preserve">El turismo internacional creció +15.87% en el primer bimestre de 2025 respecto a 2024</w:t>
      </w:r>
    </w:p>
    <w:p>
      <w:pPr>
        <w:pStyle w:val="ListParagraph"/>
        <w:numPr>
          <w:ilvl w:val="0"/>
          <w:numId w:val="2"/>
        </w:numPr>
        <w:spacing w:after="100"/>
      </w:pPr>
      <w:r>
        <w:rPr>
          <w:rFonts w:ascii="Arial" w:cs="Arial" w:eastAsia="Arial" w:hAnsi="Arial"/>
          <w:sz w:val="22"/>
          <w:szCs w:val="22"/>
        </w:rPr>
        <w:t xml:space="preserve">Los turistas brasileros, norteamericanos y chilenos son los visitantes internacionales más activos en Mendoza</w:t>
      </w:r>
    </w:p>
    <w:p>
      <w:pPr>
        <w:pStyle w:val="ListParagraph"/>
        <w:numPr>
          <w:ilvl w:val="0"/>
          <w:numId w:val="2"/>
        </w:numPr>
        <w:spacing w:after="100"/>
      </w:pPr>
      <w:r>
        <w:rPr>
          <w:rFonts w:ascii="Arial" w:cs="Arial" w:eastAsia="Arial" w:hAnsi="Arial"/>
          <w:sz w:val="22"/>
          <w:szCs w:val="22"/>
        </w:rPr>
        <w:t xml:space="preserve">El turismo de experiencias (vs. solo alojamiento) crece a un ritmo superior al promedio del sector</w:t>
      </w:r>
    </w:p>
    <w:p>
      <w:pPr>
        <w:pStyle w:val="ListParagraph"/>
        <w:numPr>
          <w:ilvl w:val="0"/>
          <w:numId w:val="2"/>
        </w:numPr>
        <w:spacing w:after="100"/>
      </w:pPr>
      <w:r>
        <w:rPr>
          <w:rFonts w:ascii="Arial" w:cs="Arial" w:eastAsia="Arial" w:hAnsi="Arial"/>
          <w:sz w:val="22"/>
          <w:szCs w:val="22"/>
        </w:rPr>
        <w:t xml:space="preserve">La tasa de digitalización de la distribución de experiencias en bodegas pequeñas y medianas es inferior al 20%</w:t>
      </w:r>
    </w:p>
    <w:p>
      <w:pPr>
        <w:pStyle w:val="ListParagraph"/>
        <w:numPr>
          <w:ilvl w:val="0"/>
          <w:numId w:val="2"/>
        </w:numPr>
        <w:spacing w:after="100"/>
      </w:pPr>
      <w:r>
        <w:rPr>
          <w:rFonts w:ascii="Arial" w:cs="Arial" w:eastAsia="Arial" w:hAnsi="Arial"/>
          <w:sz w:val="22"/>
          <w:szCs w:val="22"/>
        </w:rPr>
        <w:t xml:space="preserve">Existe un gap significativo entre la calidad de la oferta experiencial local y su visibilidad en plataformas digitales</w:t>
      </w:r>
    </w:p>
    <w:p>
      <w:r>
        <w:br w:type="page"/>
      </w:r>
    </w:p>
    <w:p>
      <w:pPr>
        <w:pStyle w:val="Heading1"/>
        <w:pBdr>
          <w:bottom w:val="single" w:color="1F5C8B" w:sz="6" w:space="4"/>
        </w:pBdr>
        <w:spacing w:after="200" w:before="360"/>
      </w:pPr>
      <w:r>
        <w:rPr>
          <w:rFonts w:ascii="Arial" w:cs="Arial" w:eastAsia="Arial" w:hAnsi="Arial"/>
          <w:b/>
          <w:bCs/>
          <w:color w:val="1F5C8B"/>
          <w:sz w:val="32"/>
          <w:szCs w:val="32"/>
        </w:rPr>
        <w:t xml:space="preserve">3. Mercado Global de Tours y Experiencias</w:t>
      </w:r>
    </w:p>
    <w:p>
      <w:pPr>
        <w:pStyle w:val="Heading2"/>
        <w:spacing w:after="140" w:before="280"/>
      </w:pPr>
      <w:r>
        <w:rPr>
          <w:rFonts w:ascii="Arial" w:cs="Arial" w:eastAsia="Arial" w:hAnsi="Arial"/>
          <w:b/>
          <w:bCs/>
          <w:color w:val="1A1A2E"/>
          <w:sz w:val="26"/>
          <w:szCs w:val="26"/>
        </w:rPr>
        <w:t xml:space="preserve">3.1 Tamaño del Mercado</w:t>
      </w:r>
    </w:p>
    <w:p>
      <w:pPr>
        <w:spacing w:after="160"/>
        <w:jc w:val="both"/>
      </w:pPr>
      <w:r>
        <w:rPr>
          <w:rFonts w:ascii="Arial" w:cs="Arial" w:eastAsia="Arial" w:hAnsi="Arial"/>
          <w:sz w:val="22"/>
          <w:szCs w:val="22"/>
        </w:rPr>
        <w:t xml:space="preserve">El sector de tours, actividades y experiencias es uno de los segmentos de mayor crecimiento dentro de la industria del viaje. Histricamente subdigitalizado respecto a alojamiento y transporte, ahora atraviesa una transformación acelerada impulsada por plataformas OTA especializadas.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w:t>
            </w:r>
          </w:p>
        </w:tc>
        <w:tc>
          <w:tcPr>
            <w:tcW w:type="dxa" w:w="4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Mercado global experiencias de viaje 2025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360.000 millones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Mercado tours y actividades 2025</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185.520 millones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Proyección 2030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267.200 millones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CAGR 2025-2030</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7.51%</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Participación OTAs en reservas 2025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37% (subió de 33% en 2024)</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Reservas directas en webs de operadores 2025</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 (bajó de 29% en 2024)</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Mercado blockchain en turismo 2025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2.500 millones (CAGR 35%)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Proyección blockchain turismo 2033</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25.000 millones</w:t>
            </w:r>
          </w:p>
        </w:tc>
      </w:tr>
    </w:tbl>
    <w:p>
      <w:pPr>
        <w:spacing w:after="160"/>
        <w:jc w:val="both"/>
      </w:pPr>
      <w:r>
        <w:rPr>
          <w:rFonts w:ascii="Arial" w:cs="Arial" w:eastAsia="Arial" w:hAnsi="Arial"/>
          <w:sz w:val="22"/>
          <w:szCs w:val="22"/>
        </w:rPr>
        <w:t xml:space="preserve">Una tendencia crítica: las OTAs están capturando mayor cuota de mercado (37% en 2025 vs 33% en 2024) mientras los operadores pierden control sobre su distribución directa. Este fenómeno crea dependencia y compresión de márgenes. OTC propone revertirlo multiplicando los canales de distribución en lugar de centralizar.</w:t>
      </w:r>
    </w:p>
    <w:p>
      <w:pPr>
        <w:pStyle w:val="Heading2"/>
        <w:spacing w:after="140" w:before="280"/>
      </w:pPr>
      <w:r>
        <w:rPr>
          <w:rFonts w:ascii="Arial" w:cs="Arial" w:eastAsia="Arial" w:hAnsi="Arial"/>
          <w:b/>
          <w:bCs/>
          <w:color w:val="1A1A2E"/>
          <w:sz w:val="26"/>
          <w:szCs w:val="26"/>
        </w:rPr>
        <w:t xml:space="preserve">3.2 Turismo Internacional en Argentina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 Turismo Internacional Argentina 2024</w:t>
            </w:r>
          </w:p>
        </w:tc>
        <w:tc>
          <w:tcPr>
            <w:tcW w:type="dxa" w:w="4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Llegadas de turistas no residentes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6.2 millones (-8.4%)</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Ingresos por turismo receptivo</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3.020 millones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Gasto emisivo de argentinos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5.146 millones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Saldo de turismo internacional</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Negativo USD 2.125 millones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Principales mercados emisores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Brasil 22.5%, Europa 15.2%, Chile 15.1%</w:t>
            </w:r>
          </w:p>
        </w:tc>
      </w:tr>
    </w:tbl>
    <w:p>
      <w:pPr>
        <w:spacing w:after="160"/>
        <w:jc w:val="both"/>
      </w:pPr>
      <w:r>
        <w:rPr>
          <w:rFonts w:ascii="Arial" w:cs="Arial" w:eastAsia="Arial" w:hAnsi="Arial"/>
          <w:sz w:val="22"/>
          <w:szCs w:val="22"/>
        </w:rPr>
        <w:t xml:space="preserve">La caída del 8.4% en llegadas internacionales en 2024 se explica por la apreciación del tipo de cambio real. Sin embargo, Mendoza registró crecimiento positivo en el mismo período, evidenciando su fortaleza como destino específico. Hacia 2025, la tendencia se revirtió con crecimientos de dos dígitos.</w:t>
      </w:r>
    </w:p>
    <w:p>
      <w:r>
        <w:br w:type="page"/>
      </w:r>
    </w:p>
    <w:p>
      <w:pPr>
        <w:pStyle w:val="Heading1"/>
        <w:pBdr>
          <w:bottom w:val="single" w:color="1F5C8B" w:sz="6" w:space="4"/>
        </w:pBdr>
        <w:spacing w:after="200" w:before="360"/>
      </w:pPr>
      <w:r>
        <w:rPr>
          <w:rFonts w:ascii="Arial" w:cs="Arial" w:eastAsia="Arial" w:hAnsi="Arial"/>
          <w:b/>
          <w:bCs/>
          <w:color w:val="1F5C8B"/>
          <w:sz w:val="32"/>
          <w:szCs w:val="32"/>
        </w:rPr>
        <w:t xml:space="preserve">4. Investigación Laboral</w:t>
      </w:r>
    </w:p>
    <w:p>
      <w:pPr>
        <w:pStyle w:val="Heading2"/>
        <w:spacing w:after="140" w:before="280"/>
      </w:pPr>
      <w:r>
        <w:rPr>
          <w:rFonts w:ascii="Arial" w:cs="Arial" w:eastAsia="Arial" w:hAnsi="Arial"/>
          <w:b/>
          <w:bCs/>
          <w:color w:val="1A1A2E"/>
          <w:sz w:val="26"/>
          <w:szCs w:val="26"/>
        </w:rPr>
        <w:t xml:space="preserve">4.1 Mercado de Trabajo en Argentina</w:t>
      </w:r>
    </w:p>
    <w:p>
      <w:pPr>
        <w:spacing w:after="160"/>
        <w:jc w:val="both"/>
      </w:pPr>
      <w:r>
        <w:rPr>
          <w:rFonts w:ascii="Arial" w:cs="Arial" w:eastAsia="Arial" w:hAnsi="Arial"/>
          <w:sz w:val="22"/>
          <w:szCs w:val="22"/>
        </w:rPr>
        <w:t xml:space="preserve">El contexto laboral argentino representa uno de los argumentos más sólidos para OTC. La plataforma no solo atiende al turismo: crea oportunidades de ingreso para un segmento poblacional amplio que busca alternativas en un mercado formal deteriorado.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 Laboral Argentina</w:t>
            </w:r>
          </w:p>
        </w:tc>
        <w:tc>
          <w:tcPr>
            <w:tcW w:type="dxa" w:w="4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Dato</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Tasa de desocupación Q4 2025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Informalidad laboral Q4 2025</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43% de los ocupados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Personas en economía informal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9.2 millones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Trabajadores independientes</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3.8 millones (28.5% de ocupados)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Crecimiento empleo independiente 2025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+2.7% interanual (+75.600 personas)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Crecimiento aportantes monotributo 2025</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+3.3% (+70.000 personas)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Empleos formales perdidos (2023-2025)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294.000 puestos registrados</w:t>
            </w:r>
          </w:p>
        </w:tc>
      </w:tr>
    </w:tbl>
    <w:p>
      <w:pPr>
        <w:pStyle w:val="Heading2"/>
        <w:spacing w:after="140" w:before="280"/>
      </w:pPr>
      <w:r>
        <w:rPr>
          <w:rFonts w:ascii="Arial" w:cs="Arial" w:eastAsia="Arial" w:hAnsi="Arial"/>
          <w:b/>
          <w:bCs/>
          <w:color w:val="1A1A2E"/>
          <w:sz w:val="26"/>
          <w:szCs w:val="26"/>
        </w:rPr>
        <w:t xml:space="preserve">4.2 Economía Freelance y Autoempleo</w:t>
      </w:r>
    </w:p>
    <w:p>
      <w:pPr>
        <w:spacing w:after="160"/>
        <w:jc w:val="both"/>
      </w:pPr>
      <w:r>
        <w:rPr>
          <w:rFonts w:ascii="Arial" w:cs="Arial" w:eastAsia="Arial" w:hAnsi="Arial"/>
          <w:sz w:val="22"/>
          <w:szCs w:val="22"/>
        </w:rPr>
        <w:t xml:space="preserve">La tendencia estructural es clara: más argentinos migran hacia formas de trabajo independiente y buscan fuentes de ingresos complementarios. OTC captura este fenómeno y lo canaliza productivamente hacia el sector turístico.</w:t>
      </w:r>
    </w:p>
    <w:p>
      <w:pPr>
        <w:pStyle w:val="ListParagraph"/>
        <w:numPr>
          <w:ilvl w:val="0"/>
          <w:numId w:val="2"/>
        </w:numPr>
        <w:spacing w:after="100"/>
      </w:pPr>
      <w:r>
        <w:rPr>
          <w:rFonts w:ascii="Arial" w:cs="Arial" w:eastAsia="Arial" w:hAnsi="Arial"/>
          <w:sz w:val="22"/>
          <w:szCs w:val="22"/>
        </w:rPr>
        <w:t xml:space="preserve">El 34.5% de los trabajadores independientes no está registrado formalmente, lo que indica una base potencial de personas buscando inserción en economía formal flexible</w:t>
      </w:r>
    </w:p>
    <w:p>
      <w:pPr>
        <w:pStyle w:val="ListParagraph"/>
        <w:numPr>
          <w:ilvl w:val="0"/>
          <w:numId w:val="2"/>
        </w:numPr>
        <w:spacing w:after="100"/>
      </w:pPr>
      <w:r>
        <w:rPr>
          <w:rFonts w:ascii="Arial" w:cs="Arial" w:eastAsia="Arial" w:hAnsi="Arial"/>
          <w:sz w:val="22"/>
          <w:szCs w:val="22"/>
        </w:rPr>
        <w:t xml:space="preserve">El monotributo es el mecanismo predilecto: creció +3.3% en 2025, incorporando 70.000 nuevos aportantes</w:t>
      </w:r>
    </w:p>
    <w:p>
      <w:pPr>
        <w:pStyle w:val="ListParagraph"/>
        <w:numPr>
          <w:ilvl w:val="0"/>
          <w:numId w:val="2"/>
        </w:numPr>
        <w:spacing w:after="100"/>
      </w:pPr>
      <w:r>
        <w:rPr>
          <w:rFonts w:ascii="Arial" w:cs="Arial" w:eastAsia="Arial" w:hAnsi="Arial"/>
          <w:sz w:val="22"/>
          <w:szCs w:val="22"/>
        </w:rPr>
        <w:t xml:space="preserve">Los jóvenes menores de 30 años representan el 28% del empleo en enoturismo mendocino, indicando apertura del sector a nuevos perfiles</w:t>
      </w:r>
    </w:p>
    <w:p>
      <w:pPr>
        <w:pStyle w:val="ListParagraph"/>
        <w:numPr>
          <w:ilvl w:val="0"/>
          <w:numId w:val="2"/>
        </w:numPr>
        <w:spacing w:after="100"/>
      </w:pPr>
      <w:r>
        <w:rPr>
          <w:rFonts w:ascii="Arial" w:cs="Arial" w:eastAsia="Arial" w:hAnsi="Arial"/>
          <w:sz w:val="22"/>
          <w:szCs w:val="22"/>
        </w:rPr>
        <w:t xml:space="preserve">Influencers y creadores de contenido con audiencias en viajes ya monetizan recomendaciones pero sin estructura formal ni volumen de comisiones predecible</w:t>
      </w:r>
    </w:p>
    <w:p>
      <w:pPr>
        <w:pStyle w:val="Heading2"/>
        <w:spacing w:after="140" w:before="280"/>
      </w:pPr>
      <w:r>
        <w:rPr>
          <w:rFonts w:ascii="Arial" w:cs="Arial" w:eastAsia="Arial" w:hAnsi="Arial"/>
          <w:b/>
          <w:bCs/>
          <w:color w:val="1A1A2E"/>
          <w:sz w:val="26"/>
          <w:szCs w:val="26"/>
        </w:rPr>
        <w:t xml:space="preserve">4.3 Oportunidad de Autoempleo en Turismo</w:t>
      </w:r>
    </w:p>
    <w:p>
      <w:pPr>
        <w:spacing w:after="160"/>
        <w:jc w:val="both"/>
      </w:pPr>
      <w:r>
        <w:rPr>
          <w:rFonts w:ascii="Arial" w:cs="Arial" w:eastAsia="Arial" w:hAnsi="Arial"/>
          <w:sz w:val="22"/>
          <w:szCs w:val="22"/>
        </w:rPr>
        <w:t xml:space="preserve">OTC convierte la fragmentación laboral en una ventaja competitiva. Cualquier persona con conexión a internet, una red social activa o vínculos con turistas potenciales puede convertirse en un canal de ventas remunerado. Esto es estructuralmente distinto a ser un empleado del sector: el vendedor OTC no necesita contrato, capital propio ni conocimiento técnico de turismo.</w:t>
      </w:r>
    </w:p>
    <w:p>
      <w:pPr>
        <w:spacing w:after="160"/>
        <w:jc w:val="both"/>
      </w:pPr>
      <w:r>
        <w:rPr>
          <w:rFonts w:ascii="Arial" w:cs="Arial" w:eastAsia="Arial" w:hAnsi="Arial"/>
          <w:sz w:val="22"/>
          <w:szCs w:val="22"/>
        </w:rPr>
        <w:t xml:space="preserve">La propuesta encaja perfectamente con el perfil de 3.8 millones de trabajadores independientes argentinos que buscan fuentes de ingresos adicionales sin renunciar a su flexibilidad.</w:t>
      </w:r>
    </w:p>
    <w:p>
      <w:pPr>
        <w:pStyle w:val="Heading2"/>
        <w:spacing w:after="140" w:before="280"/>
      </w:pPr>
      <w:r>
        <w:rPr>
          <w:rFonts w:ascii="Arial" w:cs="Arial" w:eastAsia="Arial" w:hAnsi="Arial"/>
          <w:b/>
          <w:bCs/>
          <w:color w:val="1A1A2E"/>
          <w:sz w:val="26"/>
          <w:szCs w:val="26"/>
        </w:rPr>
        <w:t xml:space="preserve">4.4 Análisis de Salarios en Mendoza</w:t>
      </w:r>
    </w:p>
    <w:p>
      <w:pPr>
        <w:spacing w:after="160"/>
        <w:jc w:val="both"/>
      </w:pPr>
      <w:r>
        <w:rPr>
          <w:rFonts w:ascii="Arial" w:cs="Arial" w:eastAsia="Arial" w:hAnsi="Arial"/>
          <w:sz w:val="22"/>
          <w:szCs w:val="22"/>
        </w:rPr>
        <w:t xml:space="preserve">El análisis salarial de Mendoza es uno de los argumentos más contundentes para la adopción de OTC por parte de vendedores independientes. En un contexto donde el salario promedio provincial apenas supera la línea de pobreza, la posibilidad de generar ingresos adicionales sin inversión inicial ni contrato de trabajo responde a una necesidad real y urgente.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Indicador Salarial</w:t>
            </w:r>
          </w:p>
        </w:tc>
        <w:tc>
          <w:tcPr>
            <w:tcW w:type="dxa" w:w="41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 2025</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Salario promedio Mendoza (oct 2025)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ARS $928.331</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Salario promedio nacional (RIPTE cierre 2025)</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ARS $1.798.332</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Brecha Mendoza vs. promedio nacional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-36.5% (puesto 17 de 24 provincias)</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Salario Mínimo Vital y Móvil (oct 2025)</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ARS $322.200</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Canasta Básica Total familia tipo (2025)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ARS $850.000+</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SMVM como % de la Canasta Básica Total</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Solo el 37%</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Margen sobre la línea de pobreza (salario promedio Mendoza)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ARS $37.829 (apenas un 4.2% de margen)</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Brecha salarial interna en Mendoza</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21.9x entre el sector mejor y peor remunerado</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Salario guía turístico (Argentina 2025)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ARS $359.161 - $593.575/mes</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Salario guía turístico en USD</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200-300 (sin experiencia) / USD 300-500 (con experiencia)</w:t>
            </w:r>
          </w:p>
        </w:tc>
      </w:tr>
    </w:tbl>
    <w:p>
      <w:pPr>
        <w:pStyle w:val="Heading3"/>
        <w:spacing w:after="100" w:before="200"/>
      </w:pPr>
      <w:r>
        <w:rPr>
          <w:rFonts w:ascii="Arial" w:cs="Arial" w:eastAsia="Arial" w:hAnsi="Arial"/>
          <w:b/>
          <w:bCs/>
          <w:color w:val="1F5C8B"/>
          <w:sz w:val="22"/>
          <w:szCs w:val="22"/>
        </w:rPr>
        <w:t xml:space="preserve">4.4.1 El Contexto Salarial como Motor de Adopción de OTC</w:t>
      </w:r>
    </w:p>
    <w:p>
      <w:pPr>
        <w:spacing w:after="160"/>
        <w:jc w:val="both"/>
      </w:pPr>
      <w:r>
        <w:rPr>
          <w:rFonts w:ascii="Arial" w:cs="Arial" w:eastAsia="Arial" w:hAnsi="Arial"/>
          <w:sz w:val="22"/>
          <w:szCs w:val="22"/>
        </w:rPr>
        <w:t xml:space="preserve">El dato más revelador es que el salario promedio mendocino de ARS $928.331 supera la línea de pobreza por apenas ARS $37.829 —un margen del 4.2%. En la práctica, esto significa que cualquier imprevisto (una reparación, un gasto de salud, un mes de menor actividad) puede llevar a un trabajador promedio de Mendoza por debajo de la línea de pobreza.</w:t>
      </w:r>
    </w:p>
    <w:p>
      <w:pPr>
        <w:spacing w:after="160"/>
        <w:jc w:val="both"/>
      </w:pPr>
      <w:r>
        <w:rPr>
          <w:rFonts w:ascii="Arial" w:cs="Arial" w:eastAsia="Arial" w:hAnsi="Arial"/>
          <w:sz w:val="22"/>
          <w:szCs w:val="22"/>
        </w:rPr>
        <w:t xml:space="preserve">En este contexto, OTC no compite con el empleo formal: lo complementa. Un vendedor OTC que genere entre 10 y 30 ventas mensuales puede añadir un ingreso adicional significativo sin resignar su trabajo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Nivel Vendedor OTC</w:t>
            </w:r>
          </w:p>
        </w:tc>
        <w:tc>
          <w:tcPr>
            <w:tcW w:type="dxa" w:w="23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Ventas/mes</w:t>
            </w:r>
          </w:p>
        </w:tc>
        <w:tc>
          <w:tcPr>
            <w:tcW w:type="dxa" w:w="23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Comisión extra (USD)</w:t>
            </w:r>
          </w:p>
        </w:tc>
        <w:tc>
          <w:tcPr>
            <w:tcW w:type="dxa" w:w="23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del salario prom. Mendoza*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Starter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 ventas × USD 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r>
      <w:tr>
        <w:trPr>
          <w:tblHeader w:val="false"/>
        </w:trPr>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Active (8%)</w:t>
            </w:r>
          </w:p>
        </w:tc>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 ventas × USD 55</w:t>
            </w:r>
          </w:p>
        </w:tc>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66</w:t>
            </w:r>
          </w:p>
        </w:tc>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 (9%)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 ventas × USD 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148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r>
      <w:tr>
        <w:trPr>
          <w:tblHeader w:val="false"/>
        </w:trPr>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Elite (10%)</w:t>
            </w:r>
          </w:p>
        </w:tc>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 ventas × USD 55</w:t>
            </w:r>
          </w:p>
        </w:tc>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~USD 330</w:t>
            </w:r>
          </w:p>
        </w:tc>
        <w:tc>
          <w:tcPr>
            <w:tcW w:type="dxa" w:w="23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~33%</w:t>
            </w:r>
          </w:p>
        </w:tc>
      </w:tr>
    </w:tbl>
    <w:p>
      <w:pPr>
        <w:spacing w:after="160"/>
        <w:jc w:val="both"/>
      </w:pPr>
      <w:r>
        <w:rPr>
          <w:rFonts w:ascii="Arial" w:cs="Arial" w:eastAsia="Arial" w:hAnsi="Arial"/>
          <w:sz w:val="22"/>
          <w:szCs w:val="22"/>
        </w:rPr>
        <w:t xml:space="preserve">*Equivalencia aproximada al tipo de cambio oficial vigente. La comisión en USD representa una ventaja adicional en contexto inflacionario.</w:t>
      </w:r>
    </w:p>
    <w:p>
      <w:pPr>
        <w:pStyle w:val="Heading3"/>
        <w:spacing w:after="100" w:before="200"/>
      </w:pPr>
      <w:r>
        <w:rPr>
          <w:rFonts w:ascii="Arial" w:cs="Arial" w:eastAsia="Arial" w:hAnsi="Arial"/>
          <w:b/>
          <w:bCs/>
          <w:color w:val="1F5C8B"/>
          <w:sz w:val="22"/>
          <w:szCs w:val="22"/>
        </w:rPr>
        <w:t xml:space="preserve">4.4.2 El Diferencial del Ingreso en Dólares</w:t>
      </w:r>
    </w:p>
    <w:p>
      <w:pPr>
        <w:spacing w:after="160"/>
        <w:jc w:val="both"/>
      </w:pPr>
      <w:r>
        <w:rPr>
          <w:rFonts w:ascii="Arial" w:cs="Arial" w:eastAsia="Arial" w:hAnsi="Arial"/>
          <w:sz w:val="22"/>
          <w:szCs w:val="22"/>
        </w:rPr>
        <w:t xml:space="preserve">Un aspecto crítico para el mercado argentino: las comisiones de OTC se generan sobre transacciones denominadas en dólares (ticket promedio USD 55). En un contexto de alta inflación y depreciación del peso, percibir ingresos en dólares o stablecoins ofrece una ventaja de preservación de poder adquisitivo que el empleo formal en pesos no puede replicar.</w:t>
      </w:r>
    </w:p>
    <w:p>
      <w:pPr>
        <w:pStyle w:val="ListParagraph"/>
        <w:numPr>
          <w:ilvl w:val="0"/>
          <w:numId w:val="2"/>
        </w:numPr>
        <w:spacing w:after="100"/>
      </w:pPr>
      <w:r>
        <w:rPr>
          <w:rFonts w:ascii="Arial" w:cs="Arial" w:eastAsia="Arial" w:hAnsi="Arial"/>
          <w:sz w:val="22"/>
          <w:szCs w:val="22"/>
        </w:rPr>
        <w:t xml:space="preserve">Un guía turístico freelance cobra entre USD 200 y USD 500 al mes en su actividad principal</w:t>
      </w:r>
    </w:p>
    <w:p>
      <w:pPr>
        <w:pStyle w:val="ListParagraph"/>
        <w:numPr>
          <w:ilvl w:val="0"/>
          <w:numId w:val="2"/>
        </w:numPr>
        <w:spacing w:after="100"/>
      </w:pPr>
      <w:r>
        <w:rPr>
          <w:rFonts w:ascii="Arial" w:cs="Arial" w:eastAsia="Arial" w:hAnsi="Arial"/>
          <w:sz w:val="22"/>
          <w:szCs w:val="22"/>
        </w:rPr>
        <w:t xml:space="preserve">Sumando las comisiones OTC como vendedor Pro (USD 148/mes adicionales), podría aumentar sus ingresos en hasta un 30-74%</w:t>
      </w:r>
    </w:p>
    <w:p>
      <w:pPr>
        <w:pStyle w:val="ListParagraph"/>
        <w:numPr>
          <w:ilvl w:val="0"/>
          <w:numId w:val="2"/>
        </w:numPr>
        <w:spacing w:after="100"/>
      </w:pPr>
      <w:r>
        <w:rPr>
          <w:rFonts w:ascii="Arial" w:cs="Arial" w:eastAsia="Arial" w:hAnsi="Arial"/>
          <w:sz w:val="22"/>
          <w:szCs w:val="22"/>
        </w:rPr>
        <w:t xml:space="preserve">Este diferencial hace de OTC una propuesta excepcionalmente atractiva en el contexto económico argentino de 2025</w:t>
      </w:r>
    </w:p>
    <w:p>
      <w:pPr>
        <w:pStyle w:val="Heading3"/>
        <w:spacing w:after="100" w:before="200"/>
      </w:pPr>
      <w:r>
        <w:rPr>
          <w:rFonts w:ascii="Arial" w:cs="Arial" w:eastAsia="Arial" w:hAnsi="Arial"/>
          <w:b/>
          <w:bCs/>
          <w:color w:val="1F5C8B"/>
          <w:sz w:val="22"/>
          <w:szCs w:val="22"/>
        </w:rPr>
        <w:t xml:space="preserve">4.4.3 Implicancias para la Estrategia de OTC</w:t>
      </w:r>
    </w:p>
    <w:p>
      <w:pPr>
        <w:pStyle w:val="ListParagraph"/>
        <w:numPr>
          <w:ilvl w:val="0"/>
          <w:numId w:val="2"/>
        </w:numPr>
        <w:spacing w:after="100"/>
      </w:pPr>
      <w:r>
        <w:rPr>
          <w:rFonts w:ascii="Arial" w:cs="Arial" w:eastAsia="Arial" w:hAnsi="Arial"/>
          <w:sz w:val="22"/>
          <w:szCs w:val="22"/>
        </w:rPr>
        <w:t xml:space="preserve">El mensaje de captación de vendedores debe enfocarse en el ingreso adicional en dólares, no solo en el porcentaje de comisión</w:t>
      </w:r>
    </w:p>
    <w:p>
      <w:pPr>
        <w:pStyle w:val="ListParagraph"/>
        <w:numPr>
          <w:ilvl w:val="0"/>
          <w:numId w:val="2"/>
        </w:numPr>
        <w:spacing w:after="100"/>
      </w:pPr>
      <w:r>
        <w:rPr>
          <w:rFonts w:ascii="Arial" w:cs="Arial" w:eastAsia="Arial" w:hAnsi="Arial"/>
          <w:sz w:val="22"/>
          <w:szCs w:val="22"/>
        </w:rPr>
        <w:t xml:space="preserve">La facilidad de inicio (sin inversión, sin contrato) es especialmente relevante para un mercado con 43% de informalidad laboral</w:t>
      </w:r>
    </w:p>
    <w:p>
      <w:pPr>
        <w:pStyle w:val="ListParagraph"/>
        <w:numPr>
          <w:ilvl w:val="0"/>
          <w:numId w:val="2"/>
        </w:numPr>
        <w:spacing w:after="100"/>
      </w:pPr>
      <w:r>
        <w:rPr>
          <w:rFonts w:ascii="Arial" w:cs="Arial" w:eastAsia="Arial" w:hAnsi="Arial"/>
          <w:sz w:val="22"/>
          <w:szCs w:val="22"/>
        </w:rPr>
        <w:t xml:space="preserve">Los vendedores Elite que generen USD 330+/mes en comisiones superarían el salario formal promedio de un guía turístico junior —un argumento poderoso para conversión</w:t>
      </w:r>
    </w:p>
    <w:p>
      <w:pPr>
        <w:pStyle w:val="ListParagraph"/>
        <w:numPr>
          <w:ilvl w:val="0"/>
          <w:numId w:val="2"/>
        </w:numPr>
        <w:spacing w:after="100"/>
      </w:pPr>
      <w:r>
        <w:rPr>
          <w:rFonts w:ascii="Arial" w:cs="Arial" w:eastAsia="Arial" w:hAnsi="Arial"/>
          <w:sz w:val="22"/>
          <w:szCs w:val="22"/>
        </w:rPr>
        <w:t xml:space="preserve">El contexto salarial de Mendoza crea una ventana de captación sin precedentes: miles de personas motivadas a buscar ingresos adicionales con capacidad de acción inmediata</w:t>
      </w:r>
    </w:p>
    <w:p>
      <w:r>
        <w:br w:type="page"/>
      </w:r>
    </w:p>
    <w:p>
      <w:pPr>
        <w:pStyle w:val="Heading1"/>
        <w:pBdr>
          <w:bottom w:val="single" w:color="1F5C8B" w:sz="6" w:space="4"/>
        </w:pBdr>
        <w:spacing w:after="200" w:before="360"/>
      </w:pPr>
      <w:r>
        <w:rPr>
          <w:rFonts w:ascii="Arial" w:cs="Arial" w:eastAsia="Arial" w:hAnsi="Arial"/>
          <w:b/>
          <w:bCs/>
          <w:color w:val="1F5C8B"/>
          <w:sz w:val="32"/>
          <w:szCs w:val="32"/>
        </w:rPr>
        <w:t xml:space="preserve">5. Análisis Competitivo</w:t>
      </w:r>
    </w:p>
    <w:p>
      <w:pPr>
        <w:pStyle w:val="Heading2"/>
        <w:spacing w:after="140" w:before="280"/>
      </w:pPr>
      <w:r>
        <w:rPr>
          <w:rFonts w:ascii="Arial" w:cs="Arial" w:eastAsia="Arial" w:hAnsi="Arial"/>
          <w:b/>
          <w:bCs/>
          <w:color w:val="1A1A2E"/>
          <w:sz w:val="26"/>
          <w:szCs w:val="26"/>
        </w:rPr>
        <w:t xml:space="preserve">5.1 Panorama de Competidores</w:t>
      </w:r>
    </w:p>
    <w:p>
      <w:pPr>
        <w:spacing w:after="160"/>
        <w:jc w:val="both"/>
      </w:pPr>
      <w:r>
        <w:rPr>
          <w:rFonts w:ascii="Arial" w:cs="Arial" w:eastAsia="Arial" w:hAnsi="Arial"/>
          <w:sz w:val="22"/>
          <w:szCs w:val="22"/>
        </w:rPr>
        <w:t xml:space="preserve">El ecosistema de distribución turística digital está dominado por plataformas que centralizan la oferta y cobran comisiones elevadas. OTC no compite directamente contra estas plataformas en el mismo eje: mientras ellas SON el canal, OTC CREA canales.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800"/>
        <w:gridCol w:w="1860"/>
      </w:tblGrid>
      <w:tr>
        <w:trPr>
          <w:tblHeader/>
        </w:trPr>
        <w:tc>
          <w:tcPr>
            <w:tcW w:type="dxa" w:w="21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Plataforma</w:t>
            </w:r>
          </w:p>
        </w:tc>
        <w:tc>
          <w:tcPr>
            <w:tcW w:type="dxa" w:w="1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w:t>
            </w:r>
          </w:p>
        </w:tc>
        <w:tc>
          <w:tcPr>
            <w:tcW w:type="dxa" w:w="1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Comisión</w:t>
            </w:r>
          </w:p>
        </w:tc>
        <w:tc>
          <w:tcPr>
            <w:tcW w:type="dxa" w:w="1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Vendedores Independientes</w:t>
            </w:r>
          </w:p>
        </w:tc>
        <w:tc>
          <w:tcPr>
            <w:tcW w:type="dxa" w:w="18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Pagos Instantáneos</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Viator (TripAdvisor)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OTA centralizada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20-35% + USD 29/producto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(días hábiles)</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GetYourGuide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OTA centralizada</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20-30%</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(días hábiles)</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Airbnb Experiences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Marketplace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(24-48h)</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Booking.com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OTA alojamiento</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15-25% alojamiento</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WhatsApp / Instagram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Informal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 (sin estructura)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Sí (informal)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Sí (informal)</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Red de vendedores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5-10% (plataforma)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Sí (core del modelo)</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Sí (smart contracts)</w:t>
            </w:r>
          </w:p>
        </w:tc>
      </w:tr>
    </w:tbl>
    <w:p>
      <w:pPr>
        <w:pStyle w:val="Heading2"/>
        <w:spacing w:after="140" w:before="280"/>
      </w:pPr>
      <w:r>
        <w:rPr>
          <w:rFonts w:ascii="Arial" w:cs="Arial" w:eastAsia="Arial" w:hAnsi="Arial"/>
          <w:b/>
          <w:bCs/>
          <w:color w:val="1A1A2E"/>
          <w:sz w:val="26"/>
          <w:szCs w:val="26"/>
        </w:rPr>
        <w:t xml:space="preserve">5.2 Gaps del Mercado que OTC Resuelve</w:t>
      </w:r>
    </w:p>
    <w:p>
      <w:pPr>
        <w:pStyle w:val="ListParagraph"/>
        <w:numPr>
          <w:ilvl w:val="0"/>
          <w:numId w:val="2"/>
        </w:numPr>
        <w:spacing w:after="100"/>
      </w:pPr>
      <w:r>
        <w:rPr>
          <w:rFonts w:ascii="Arial" w:cs="Arial" w:eastAsia="Arial" w:hAnsi="Arial"/>
          <w:sz w:val="22"/>
          <w:szCs w:val="22"/>
        </w:rPr>
        <w:t xml:space="preserve">Ninguna plataforma global permite a terceros independientes vender productos turísticos ajenos con comisión automática</w:t>
      </w:r>
    </w:p>
    <w:p>
      <w:pPr>
        <w:pStyle w:val="ListParagraph"/>
        <w:numPr>
          <w:ilvl w:val="0"/>
          <w:numId w:val="2"/>
        </w:numPr>
        <w:spacing w:after="100"/>
      </w:pPr>
      <w:r>
        <w:rPr>
          <w:rFonts w:ascii="Arial" w:cs="Arial" w:eastAsia="Arial" w:hAnsi="Arial"/>
          <w:sz w:val="22"/>
          <w:szCs w:val="22"/>
        </w:rPr>
        <w:t xml:space="preserve">Los pagos y liquidaciones en OTAs toman entre 24 horas y 30 días: OTC los automatiza con smart contracts en tiempo real</w:t>
      </w:r>
    </w:p>
    <w:p>
      <w:pPr>
        <w:pStyle w:val="ListParagraph"/>
        <w:numPr>
          <w:ilvl w:val="0"/>
          <w:numId w:val="2"/>
        </w:numPr>
        <w:spacing w:after="100"/>
      </w:pPr>
      <w:r>
        <w:rPr>
          <w:rFonts w:ascii="Arial" w:cs="Arial" w:eastAsia="Arial" w:hAnsi="Arial"/>
          <w:sz w:val="22"/>
          <w:szCs w:val="22"/>
        </w:rPr>
        <w:t xml:space="preserve">No existe mercado secundario para reservas: si un turista no puede usarla, la pierde. OTC habilita su reventa peer-to-peer</w:t>
      </w:r>
    </w:p>
    <w:p>
      <w:pPr>
        <w:pStyle w:val="ListParagraph"/>
        <w:numPr>
          <w:ilvl w:val="0"/>
          <w:numId w:val="2"/>
        </w:numPr>
        <w:spacing w:after="100"/>
      </w:pPr>
      <w:r>
        <w:rPr>
          <w:rFonts w:ascii="Arial" w:cs="Arial" w:eastAsia="Arial" w:hAnsi="Arial"/>
          <w:sz w:val="22"/>
          <w:szCs w:val="22"/>
        </w:rPr>
        <w:t xml:space="preserve">Los operadores locales pequeños no tienen presupuesto para marketing propio: OTC les da una red de vendedores a costo variable</w:t>
      </w:r>
    </w:p>
    <w:p>
      <w:pPr>
        <w:pStyle w:val="ListParagraph"/>
        <w:numPr>
          <w:ilvl w:val="0"/>
          <w:numId w:val="2"/>
        </w:numPr>
        <w:spacing w:after="100"/>
      </w:pPr>
      <w:r>
        <w:rPr>
          <w:rFonts w:ascii="Arial" w:cs="Arial" w:eastAsia="Arial" w:hAnsi="Arial"/>
          <w:sz w:val="22"/>
          <w:szCs w:val="22"/>
        </w:rPr>
        <w:t xml:space="preserve">La informalidad del mercado (WhatsApp, Instagram) existe porque la alternativa formal cuesta demasiado: OTC formaliza sin encarecerla</w:t>
      </w:r>
    </w:p>
    <w:p>
      <w:r>
        <w:br w:type="page"/>
      </w:r>
    </w:p>
    <w:p>
      <w:pPr>
        <w:pStyle w:val="Heading1"/>
        <w:pBdr>
          <w:bottom w:val="single" w:color="1F5C8B" w:sz="6" w:space="4"/>
        </w:pBdr>
        <w:spacing w:after="200" w:before="360"/>
      </w:pPr>
      <w:r>
        <w:rPr>
          <w:rFonts w:ascii="Arial" w:cs="Arial" w:eastAsia="Arial" w:hAnsi="Arial"/>
          <w:b/>
          <w:bCs/>
          <w:color w:val="1F5C8B"/>
          <w:sz w:val="32"/>
          <w:szCs w:val="32"/>
        </w:rPr>
        <w:t xml:space="preserve">6. Blockchain en la Industria del Viaje</w:t>
      </w:r>
    </w:p>
    <w:p>
      <w:pPr>
        <w:pStyle w:val="Heading2"/>
        <w:spacing w:after="140" w:before="280"/>
      </w:pPr>
      <w:r>
        <w:rPr>
          <w:rFonts w:ascii="Arial" w:cs="Arial" w:eastAsia="Arial" w:hAnsi="Arial"/>
          <w:b/>
          <w:bCs/>
          <w:color w:val="1A1A2E"/>
          <w:sz w:val="26"/>
          <w:szCs w:val="26"/>
        </w:rPr>
        <w:t xml:space="preserve">6.1 Estado del Arte</w:t>
      </w:r>
    </w:p>
    <w:p>
      <w:pPr>
        <w:spacing w:after="160"/>
        <w:jc w:val="both"/>
      </w:pPr>
      <w:r>
        <w:rPr>
          <w:rFonts w:ascii="Arial" w:cs="Arial" w:eastAsia="Arial" w:hAnsi="Arial"/>
          <w:sz w:val="22"/>
          <w:szCs w:val="22"/>
        </w:rPr>
        <w:t xml:space="preserve">La aplicación de blockchain en turismo pasó de fase experimental a implementación productiva entre 2023 y 2025. El mercado global de blockchain en turismo alcanzó USD 2.500 millones en 2025 y proyecta un CAGR del 35% hasta 2033, cuando superará los USD 25.000 millones.</w:t>
      </w:r>
    </w:p>
    <w:p>
      <w:pPr>
        <w:pStyle w:val="ListParagraph"/>
        <w:numPr>
          <w:ilvl w:val="0"/>
          <w:numId w:val="2"/>
        </w:numPr>
        <w:spacing w:after="100"/>
      </w:pPr>
      <w:r>
        <w:rPr>
          <w:rFonts w:ascii="Arial" w:cs="Arial" w:eastAsia="Arial" w:hAnsi="Arial"/>
          <w:sz w:val="22"/>
          <w:szCs w:val="22"/>
        </w:rPr>
        <w:t xml:space="preserve">Travala (OTA cripto) procesó más de USD 100 millones en reservas en 2024, con USD 80 millones en criptomonedas</w:t>
      </w:r>
    </w:p>
    <w:p>
      <w:pPr>
        <w:pStyle w:val="ListParagraph"/>
        <w:numPr>
          <w:ilvl w:val="0"/>
          <w:numId w:val="2"/>
        </w:numPr>
        <w:spacing w:after="100"/>
      </w:pPr>
      <w:r>
        <w:rPr>
          <w:rFonts w:ascii="Arial" w:cs="Arial" w:eastAsia="Arial" w:hAnsi="Arial"/>
          <w:sz w:val="22"/>
          <w:szCs w:val="22"/>
        </w:rPr>
        <w:t xml:space="preserve">Las líneas aéreas que aceptan criptomonedas reportan incrementos del 40% en reservas y usuarios que gastan 2.5x más por reserva</w:t>
      </w:r>
    </w:p>
    <w:p>
      <w:pPr>
        <w:pStyle w:val="ListParagraph"/>
        <w:numPr>
          <w:ilvl w:val="0"/>
          <w:numId w:val="2"/>
        </w:numPr>
        <w:spacing w:after="100"/>
      </w:pPr>
      <w:r>
        <w:rPr>
          <w:rFonts w:ascii="Arial" w:cs="Arial" w:eastAsia="Arial" w:hAnsi="Arial"/>
          <w:sz w:val="22"/>
          <w:szCs w:val="22"/>
        </w:rPr>
        <w:t xml:space="preserve">Los smart contracts permiten la distribución automática de ingresos entre múltiples partes sin intermediarios financieros</w:t>
      </w:r>
    </w:p>
    <w:p>
      <w:pPr>
        <w:pStyle w:val="ListParagraph"/>
        <w:numPr>
          <w:ilvl w:val="0"/>
          <w:numId w:val="2"/>
        </w:numPr>
        <w:spacing w:after="100"/>
      </w:pPr>
      <w:r>
        <w:rPr>
          <w:rFonts w:ascii="Arial" w:cs="Arial" w:eastAsia="Arial" w:hAnsi="Arial"/>
          <w:sz w:val="22"/>
          <w:szCs w:val="22"/>
        </w:rPr>
        <w:t xml:space="preserve">La trazabilidad blockchain elimina el 90% de las disputas por comisiones en modelos de afiliación</w:t>
      </w:r>
    </w:p>
    <w:p>
      <w:pPr>
        <w:pStyle w:val="Heading2"/>
        <w:spacing w:after="140" w:before="280"/>
      </w:pPr>
      <w:r>
        <w:rPr>
          <w:rFonts w:ascii="Arial" w:cs="Arial" w:eastAsia="Arial" w:hAnsi="Arial"/>
          <w:b/>
          <w:bCs/>
          <w:color w:val="1A1A2E"/>
          <w:sz w:val="26"/>
          <w:szCs w:val="26"/>
        </w:rPr>
        <w:t xml:space="preserve">6.2 Justificación de Blockchain en OTC</w:t>
      </w:r>
    </w:p>
    <w:p>
      <w:pPr>
        <w:spacing w:after="160"/>
        <w:jc w:val="both"/>
      </w:pPr>
      <w:r>
        <w:rPr>
          <w:rFonts w:ascii="Arial" w:cs="Arial" w:eastAsia="Arial" w:hAnsi="Arial"/>
          <w:sz w:val="22"/>
          <w:szCs w:val="22"/>
        </w:rPr>
        <w:t xml:space="preserve">Blockchain en OTC no es marketing: es infraestructura funcional que habilita el modelo de negocio. Sin ella, la distribución automática de comisiones entre proveedor, vendedor y plataforma requiere procesos manuales costosos y propensos a disputas.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Problema sin Blockchain</w:t>
            </w:r>
          </w:p>
        </w:tc>
        <w:tc>
          <w:tcPr>
            <w:tcW w:type="dxa" w:w="4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Solución con Blockchain en OTC</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Liquidación manual de comisiones (días a semanas)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Smart contracts liquidan en minutos automáticamente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Disputas sobre montos y porcentajes</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Registro inmutable visible por todas las partes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Confianza limitada entre desconocidos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Smart contract ejecuta sin requerir confianza mutua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Reservas no reutilizables al cancelar</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Mercado secundario peer-to-peer de reservas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Fraude y falsificaciones en reservas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Tokens únicos verificables on-chain</w:t>
            </w:r>
          </w:p>
        </w:tc>
      </w:tr>
    </w:tbl>
    <w:p>
      <w:r>
        <w:br w:type="page"/>
      </w:r>
    </w:p>
    <w:p>
      <w:pPr>
        <w:pStyle w:val="Heading1"/>
        <w:pBdr>
          <w:bottom w:val="single" w:color="1F5C8B" w:sz="6" w:space="4"/>
        </w:pBdr>
        <w:spacing w:after="200" w:before="360"/>
      </w:pPr>
      <w:r>
        <w:rPr>
          <w:rFonts w:ascii="Arial" w:cs="Arial" w:eastAsia="Arial" w:hAnsi="Arial"/>
          <w:b/>
          <w:bCs/>
          <w:color w:val="1F5C8B"/>
          <w:sz w:val="32"/>
          <w:szCs w:val="32"/>
        </w:rPr>
        <w:t xml:space="preserve">7. Validación del Problema</w:t>
      </w:r>
    </w:p>
    <w:p>
      <w:pPr>
        <w:pStyle w:val="Heading2"/>
        <w:spacing w:after="140" w:before="280"/>
      </w:pPr>
      <w:r>
        <w:rPr>
          <w:rFonts w:ascii="Arial" w:cs="Arial" w:eastAsia="Arial" w:hAnsi="Arial"/>
          <w:b/>
          <w:bCs/>
          <w:color w:val="1A1A2E"/>
          <w:sz w:val="26"/>
          <w:szCs w:val="26"/>
        </w:rPr>
        <w:t xml:space="preserve">7.1 Evidencia del Problema desde el Lado del Proveedor</w:t>
      </w:r>
    </w:p>
    <w:p>
      <w:pPr>
        <w:pStyle w:val="ListParagraph"/>
        <w:numPr>
          <w:ilvl w:val="0"/>
          <w:numId w:val="2"/>
        </w:numPr>
        <w:spacing w:after="100"/>
      </w:pPr>
      <w:r>
        <w:rPr>
          <w:rFonts w:ascii="Arial" w:cs="Arial" w:eastAsia="Arial" w:hAnsi="Arial"/>
          <w:sz w:val="22"/>
          <w:szCs w:val="22"/>
        </w:rPr>
        <w:t xml:space="preserve">230 bodegas en Mendoza reciben visitas pero el 80%+ carece de sistema de distribución digital propio</w:t>
      </w:r>
    </w:p>
    <w:p>
      <w:pPr>
        <w:pStyle w:val="ListParagraph"/>
        <w:numPr>
          <w:ilvl w:val="0"/>
          <w:numId w:val="2"/>
        </w:numPr>
        <w:spacing w:after="100"/>
      </w:pPr>
      <w:r>
        <w:rPr>
          <w:rFonts w:ascii="Arial" w:cs="Arial" w:eastAsia="Arial" w:hAnsi="Arial"/>
          <w:sz w:val="22"/>
          <w:szCs w:val="22"/>
        </w:rPr>
        <w:t xml:space="preserve">Los operadores turísticos pequeños reportan que las OTAs retienen entre 20-30% de sus ingresos</w:t>
      </w:r>
    </w:p>
    <w:p>
      <w:pPr>
        <w:pStyle w:val="ListParagraph"/>
        <w:numPr>
          <w:ilvl w:val="0"/>
          <w:numId w:val="2"/>
        </w:numPr>
        <w:spacing w:after="100"/>
      </w:pPr>
      <w:r>
        <w:rPr>
          <w:rFonts w:ascii="Arial" w:cs="Arial" w:eastAsia="Arial" w:hAnsi="Arial"/>
          <w:sz w:val="22"/>
          <w:szCs w:val="22"/>
        </w:rPr>
        <w:t xml:space="preserve">Los pagos desde plataformas OTA demoran entre 24 horas y 30 días después del checkout del cliente</w:t>
      </w:r>
    </w:p>
    <w:p>
      <w:pPr>
        <w:pStyle w:val="ListParagraph"/>
        <w:numPr>
          <w:ilvl w:val="0"/>
          <w:numId w:val="2"/>
        </w:numPr>
        <w:spacing w:after="100"/>
      </w:pPr>
      <w:r>
        <w:rPr>
          <w:rFonts w:ascii="Arial" w:cs="Arial" w:eastAsia="Arial" w:hAnsi="Arial"/>
          <w:sz w:val="22"/>
          <w:szCs w:val="22"/>
        </w:rPr>
        <w:t xml:space="preserve">La creación de un producto en Viator requiere ahora un pago de USD 29 por producto, barrera significativa para micro-operadores</w:t>
      </w:r>
    </w:p>
    <w:p>
      <w:pPr>
        <w:pStyle w:val="ListParagraph"/>
        <w:numPr>
          <w:ilvl w:val="0"/>
          <w:numId w:val="2"/>
        </w:numPr>
        <w:spacing w:after="100"/>
      </w:pPr>
      <w:r>
        <w:rPr>
          <w:rFonts w:ascii="Arial" w:cs="Arial" w:eastAsia="Arial" w:hAnsi="Arial"/>
          <w:sz w:val="22"/>
          <w:szCs w:val="22"/>
        </w:rPr>
        <w:t xml:space="preserve">La visibilidad en OTAs es algorítmica: los operadores sin reseñas iniciales quedan enterrados</w:t>
      </w:r>
    </w:p>
    <w:p>
      <w:pPr>
        <w:pStyle w:val="Heading2"/>
        <w:spacing w:after="140" w:before="280"/>
      </w:pPr>
      <w:r>
        <w:rPr>
          <w:rFonts w:ascii="Arial" w:cs="Arial" w:eastAsia="Arial" w:hAnsi="Arial"/>
          <w:b/>
          <w:bCs/>
          <w:color w:val="1A1A2E"/>
          <w:sz w:val="26"/>
          <w:szCs w:val="26"/>
        </w:rPr>
        <w:t xml:space="preserve">7.2 Evidencia del Problema desde el Lado del Vendedor</w:t>
      </w:r>
    </w:p>
    <w:p>
      <w:pPr>
        <w:pStyle w:val="ListParagraph"/>
        <w:numPr>
          <w:ilvl w:val="0"/>
          <w:numId w:val="2"/>
        </w:numPr>
        <w:spacing w:after="100"/>
      </w:pPr>
      <w:r>
        <w:rPr>
          <w:rFonts w:ascii="Arial" w:cs="Arial" w:eastAsia="Arial" w:hAnsi="Arial"/>
          <w:sz w:val="22"/>
          <w:szCs w:val="22"/>
        </w:rPr>
        <w:t xml:space="preserve">Los influencers de viajes en Argentina ganan comisiones del 3-8% en programas de afiliación genéricos con procesos de cobro complejos</w:t>
      </w:r>
    </w:p>
    <w:p>
      <w:pPr>
        <w:pStyle w:val="ListParagraph"/>
        <w:numPr>
          <w:ilvl w:val="0"/>
          <w:numId w:val="2"/>
        </w:numPr>
        <w:spacing w:after="100"/>
      </w:pPr>
      <w:r>
        <w:rPr>
          <w:rFonts w:ascii="Arial" w:cs="Arial" w:eastAsia="Arial" w:hAnsi="Arial"/>
          <w:sz w:val="22"/>
          <w:szCs w:val="22"/>
        </w:rPr>
        <w:t xml:space="preserve">Los guías turísticos freelance no tienen acceso a inventario de otros operadores para diversificar su oferta</w:t>
      </w:r>
    </w:p>
    <w:p>
      <w:pPr>
        <w:pStyle w:val="ListParagraph"/>
        <w:numPr>
          <w:ilvl w:val="0"/>
          <w:numId w:val="2"/>
        </w:numPr>
        <w:spacing w:after="100"/>
      </w:pPr>
      <w:r>
        <w:rPr>
          <w:rFonts w:ascii="Arial" w:cs="Arial" w:eastAsia="Arial" w:hAnsi="Arial"/>
          <w:sz w:val="22"/>
          <w:szCs w:val="22"/>
        </w:rPr>
        <w:t xml:space="preserve">No existe plataforma en América Latina que permita a cualquier persona vender experiencias con pagos instantáneos</w:t>
      </w:r>
    </w:p>
    <w:p>
      <w:pPr>
        <w:pStyle w:val="ListParagraph"/>
        <w:numPr>
          <w:ilvl w:val="0"/>
          <w:numId w:val="2"/>
        </w:numPr>
        <w:spacing w:after="100"/>
      </w:pPr>
      <w:r>
        <w:rPr>
          <w:rFonts w:ascii="Arial" w:cs="Arial" w:eastAsia="Arial" w:hAnsi="Arial"/>
          <w:sz w:val="22"/>
          <w:szCs w:val="22"/>
        </w:rPr>
        <w:t xml:space="preserve">La economía informal en turismo en Mendoza (ventas vía WhatsApp, grupos de Facebook) carece de protección legal y trazabilidad</w:t>
      </w:r>
    </w:p>
    <w:p>
      <w:pPr>
        <w:pStyle w:val="Heading2"/>
        <w:spacing w:after="140" w:before="280"/>
      </w:pPr>
      <w:r>
        <w:rPr>
          <w:rFonts w:ascii="Arial" w:cs="Arial" w:eastAsia="Arial" w:hAnsi="Arial"/>
          <w:b/>
          <w:bCs/>
          <w:color w:val="1A1A2E"/>
          <w:sz w:val="26"/>
          <w:szCs w:val="26"/>
        </w:rPr>
        <w:t xml:space="preserve">7.3 El Dato Salarial como Validación de Urgencia</w:t>
      </w:r>
    </w:p>
    <w:p>
      <w:pPr>
        <w:pStyle w:val="ListParagraph"/>
        <w:numPr>
          <w:ilvl w:val="0"/>
          <w:numId w:val="2"/>
        </w:numPr>
        <w:spacing w:after="100"/>
      </w:pPr>
      <w:r>
        <w:rPr>
          <w:rFonts w:ascii="Arial" w:cs="Arial" w:eastAsia="Arial" w:hAnsi="Arial"/>
          <w:sz w:val="22"/>
          <w:szCs w:val="22"/>
        </w:rPr>
        <w:t xml:space="preserve">El salario promedio mendocino (ARS $928.331) supera la línea de pobreza por apenas ARS $37.829 — el 4.2%</w:t>
      </w:r>
    </w:p>
    <w:p>
      <w:pPr>
        <w:pStyle w:val="ListParagraph"/>
        <w:numPr>
          <w:ilvl w:val="0"/>
          <w:numId w:val="2"/>
        </w:numPr>
        <w:spacing w:after="100"/>
      </w:pPr>
      <w:r>
        <w:rPr>
          <w:rFonts w:ascii="Arial" w:cs="Arial" w:eastAsia="Arial" w:hAnsi="Arial"/>
          <w:sz w:val="22"/>
          <w:szCs w:val="22"/>
        </w:rPr>
        <w:t xml:space="preserve">El 43% de los trabajadores argentinos están en la informalidad: están activamente buscando ingresos adicionales</w:t>
      </w:r>
    </w:p>
    <w:p>
      <w:pPr>
        <w:pStyle w:val="ListParagraph"/>
        <w:numPr>
          <w:ilvl w:val="0"/>
          <w:numId w:val="2"/>
        </w:numPr>
        <w:spacing w:after="100"/>
      </w:pPr>
      <w:r>
        <w:rPr>
          <w:rFonts w:ascii="Arial" w:cs="Arial" w:eastAsia="Arial" w:hAnsi="Arial"/>
          <w:sz w:val="22"/>
          <w:szCs w:val="22"/>
        </w:rPr>
        <w:t xml:space="preserve">Un vendedor Pro OTC (30 ventas/mes) genera ~USD 148 extra, equivalente al 15% del salario promedio mendocino</w:t>
      </w:r>
    </w:p>
    <w:p>
      <w:pPr>
        <w:pStyle w:val="ListParagraph"/>
        <w:numPr>
          <w:ilvl w:val="0"/>
          <w:numId w:val="2"/>
        </w:numPr>
        <w:spacing w:after="100"/>
      </w:pPr>
      <w:r>
        <w:rPr>
          <w:rFonts w:ascii="Arial" w:cs="Arial" w:eastAsia="Arial" w:hAnsi="Arial"/>
          <w:sz w:val="22"/>
          <w:szCs w:val="22"/>
        </w:rPr>
        <w:t xml:space="preserve">El ingreso en USD protege del deterioro inflacionario del peso: diferencial crítico en el contexto 2025</w:t>
      </w:r>
    </w:p>
    <w:p>
      <w:pPr>
        <w:pStyle w:val="Heading2"/>
        <w:spacing w:after="140" w:before="280"/>
      </w:pPr>
      <w:r>
        <w:rPr>
          <w:rFonts w:ascii="Arial" w:cs="Arial" w:eastAsia="Arial" w:hAnsi="Arial"/>
          <w:b/>
          <w:bCs/>
          <w:color w:val="1A1A2E"/>
          <w:sz w:val="26"/>
          <w:szCs w:val="26"/>
        </w:rPr>
        <w:t xml:space="preserve">7.4 Hipótesis Validables</w:t>
      </w:r>
    </w:p>
    <w:p>
      <w:pPr>
        <w:spacing w:after="160"/>
        <w:jc w:val="both"/>
      </w:pPr>
      <w:r>
        <w:rPr>
          <w:rFonts w:ascii="Arial" w:cs="Arial" w:eastAsia="Arial" w:hAnsi="Arial"/>
          <w:sz w:val="22"/>
          <w:szCs w:val="22"/>
        </w:rPr>
        <w:t xml:space="preserve">Las siguientes hipótesis son críticas para validar antes del lanzamiento:</w:t>
      </w:r>
    </w:p>
    <w:p>
      <w:pPr>
        <w:pStyle w:val="ListParagraph"/>
        <w:numPr>
          <w:ilvl w:val="0"/>
          <w:numId w:val="2"/>
        </w:numPr>
        <w:spacing w:after="100"/>
      </w:pPr>
      <w:r>
        <w:rPr>
          <w:rFonts w:ascii="Arial" w:cs="Arial" w:eastAsia="Arial" w:hAnsi="Arial"/>
          <w:sz w:val="22"/>
          <w:szCs w:val="22"/>
        </w:rPr>
        <w:t xml:space="preserve">Al menos 50 bodegas y operadores en Mendoza aceptarán publicar su inventario en OTC si el costo es menor al 15%</w:t>
      </w:r>
    </w:p>
    <w:p>
      <w:pPr>
        <w:pStyle w:val="ListParagraph"/>
        <w:numPr>
          <w:ilvl w:val="0"/>
          <w:numId w:val="2"/>
        </w:numPr>
        <w:spacing w:after="100"/>
      </w:pPr>
      <w:r>
        <w:rPr>
          <w:rFonts w:ascii="Arial" w:cs="Arial" w:eastAsia="Arial" w:hAnsi="Arial"/>
          <w:sz w:val="22"/>
          <w:szCs w:val="22"/>
        </w:rPr>
        <w:t xml:space="preserve">Al menos 500 personas en Mendoza estarían dispuestas a vender productos turísticos a comisión en los primeros 6 meses</w:t>
      </w:r>
    </w:p>
    <w:p>
      <w:pPr>
        <w:pStyle w:val="ListParagraph"/>
        <w:numPr>
          <w:ilvl w:val="0"/>
          <w:numId w:val="2"/>
        </w:numPr>
        <w:spacing w:after="100"/>
      </w:pPr>
      <w:r>
        <w:rPr>
          <w:rFonts w:ascii="Arial" w:cs="Arial" w:eastAsia="Arial" w:hAnsi="Arial"/>
          <w:sz w:val="22"/>
          <w:szCs w:val="22"/>
        </w:rPr>
        <w:t xml:space="preserve">Un turista estaría dispuesto a comprar una experiencia recomendada por un conocido si la plataforma ofrece garantía y facilidad de pago</w:t>
      </w:r>
    </w:p>
    <w:p>
      <w:pPr>
        <w:pStyle w:val="ListParagraph"/>
        <w:numPr>
          <w:ilvl w:val="0"/>
          <w:numId w:val="2"/>
        </w:numPr>
        <w:spacing w:after="100"/>
      </w:pPr>
      <w:r>
        <w:rPr>
          <w:rFonts w:ascii="Arial" w:cs="Arial" w:eastAsia="Arial" w:hAnsi="Arial"/>
          <w:sz w:val="22"/>
          <w:szCs w:val="22"/>
        </w:rPr>
        <w:t xml:space="preserve">El mercado secundario de reservas (reventa) tiene demanda suficiente para generar transacciones en Mendoza</w:t>
      </w:r>
    </w:p>
    <w:p>
      <w:r>
        <w:br w:type="page"/>
      </w:r>
    </w:p>
    <w:p>
      <w:pPr>
        <w:pStyle w:val="Heading1"/>
        <w:pBdr>
          <w:bottom w:val="single" w:color="1F5C8B" w:sz="6" w:space="4"/>
        </w:pBdr>
        <w:spacing w:after="200" w:before="360"/>
      </w:pPr>
      <w:r>
        <w:rPr>
          <w:rFonts w:ascii="Arial" w:cs="Arial" w:eastAsia="Arial" w:hAnsi="Arial"/>
          <w:b/>
          <w:bCs/>
          <w:color w:val="1F5C8B"/>
          <w:sz w:val="32"/>
          <w:szCs w:val="32"/>
        </w:rPr>
        <w:t xml:space="preserve">8. Oportunidades de Mercado</w:t>
      </w:r>
    </w:p>
    <w:p>
      <w:pPr>
        <w:pStyle w:val="Heading2"/>
        <w:spacing w:after="140" w:before="280"/>
      </w:pPr>
      <w:r>
        <w:rPr>
          <w:rFonts w:ascii="Arial" w:cs="Arial" w:eastAsia="Arial" w:hAnsi="Arial"/>
          <w:b/>
          <w:bCs/>
          <w:color w:val="1A1A2E"/>
          <w:sz w:val="26"/>
          <w:szCs w:val="26"/>
        </w:rPr>
        <w:t xml:space="preserve">8.1 Oportunidades Inmediatas (0-12 meses)</w:t>
      </w:r>
    </w:p>
    <w:p>
      <w:pPr>
        <w:pStyle w:val="ListParagraph"/>
        <w:numPr>
          <w:ilvl w:val="0"/>
          <w:numId w:val="2"/>
        </w:numPr>
        <w:spacing w:after="100"/>
      </w:pPr>
      <w:r>
        <w:rPr>
          <w:rFonts w:ascii="Arial" w:cs="Arial" w:eastAsia="Arial" w:hAnsi="Arial"/>
          <w:sz w:val="22"/>
          <w:szCs w:val="22"/>
        </w:rPr>
        <w:t xml:space="preserve">Onboarding de bodegas medianas y pequeñas que ya tienen experiencias turísticas pero distribución limitada</w:t>
      </w:r>
    </w:p>
    <w:p>
      <w:pPr>
        <w:pStyle w:val="ListParagraph"/>
        <w:numPr>
          <w:ilvl w:val="0"/>
          <w:numId w:val="2"/>
        </w:numPr>
        <w:spacing w:after="100"/>
      </w:pPr>
      <w:r>
        <w:rPr>
          <w:rFonts w:ascii="Arial" w:cs="Arial" w:eastAsia="Arial" w:hAnsi="Arial"/>
          <w:sz w:val="22"/>
          <w:szCs w:val="22"/>
        </w:rPr>
        <w:t xml:space="preserve">Captación de guías turísticos freelance de Mendoza como primeros vendedores de la plataforma</w:t>
      </w:r>
    </w:p>
    <w:p>
      <w:pPr>
        <w:pStyle w:val="ListParagraph"/>
        <w:numPr>
          <w:ilvl w:val="0"/>
          <w:numId w:val="2"/>
        </w:numPr>
        <w:spacing w:after="100"/>
      </w:pPr>
      <w:r>
        <w:rPr>
          <w:rFonts w:ascii="Arial" w:cs="Arial" w:eastAsia="Arial" w:hAnsi="Arial"/>
          <w:sz w:val="22"/>
          <w:szCs w:val="22"/>
        </w:rPr>
        <w:t xml:space="preserve">Temporada alta (enero-marzo y julio) como ventana de validación con alto volumen de visitantes</w:t>
      </w:r>
    </w:p>
    <w:p>
      <w:pPr>
        <w:pStyle w:val="ListParagraph"/>
        <w:numPr>
          <w:ilvl w:val="0"/>
          <w:numId w:val="2"/>
        </w:numPr>
        <w:spacing w:after="100"/>
      </w:pPr>
      <w:r>
        <w:rPr>
          <w:rFonts w:ascii="Arial" w:cs="Arial" w:eastAsia="Arial" w:hAnsi="Arial"/>
          <w:sz w:val="22"/>
          <w:szCs w:val="22"/>
        </w:rPr>
        <w:t xml:space="preserve">Turistas chilenos y brasileros: mercados con alta propensidad a comprar experiencias turísticas</w:t>
      </w:r>
    </w:p>
    <w:p>
      <w:pPr>
        <w:pStyle w:val="Heading2"/>
        <w:spacing w:after="140" w:before="280"/>
      </w:pPr>
      <w:r>
        <w:rPr>
          <w:rFonts w:ascii="Arial" w:cs="Arial" w:eastAsia="Arial" w:hAnsi="Arial"/>
          <w:b/>
          <w:bCs/>
          <w:color w:val="1A1A2E"/>
          <w:sz w:val="26"/>
          <w:szCs w:val="26"/>
        </w:rPr>
        <w:t xml:space="preserve">8.2 Oportunidades de Mediano Plazo (12-36 meses)</w:t>
      </w:r>
    </w:p>
    <w:p>
      <w:pPr>
        <w:pStyle w:val="ListParagraph"/>
        <w:numPr>
          <w:ilvl w:val="0"/>
          <w:numId w:val="2"/>
        </w:numPr>
        <w:spacing w:after="100"/>
      </w:pPr>
      <w:r>
        <w:rPr>
          <w:rFonts w:ascii="Arial" w:cs="Arial" w:eastAsia="Arial" w:hAnsi="Arial"/>
          <w:sz w:val="22"/>
          <w:szCs w:val="22"/>
        </w:rPr>
        <w:t xml:space="preserve">Expansión a otras provincias turísticas: Salta, Bariloche, Patagonia, Iguazú</w:t>
      </w:r>
    </w:p>
    <w:p>
      <w:pPr>
        <w:pStyle w:val="ListParagraph"/>
        <w:numPr>
          <w:ilvl w:val="0"/>
          <w:numId w:val="2"/>
        </w:numPr>
        <w:spacing w:after="100"/>
      </w:pPr>
      <w:r>
        <w:rPr>
          <w:rFonts w:ascii="Arial" w:cs="Arial" w:eastAsia="Arial" w:hAnsi="Arial"/>
          <w:sz w:val="22"/>
          <w:szCs w:val="22"/>
        </w:rPr>
        <w:t xml:space="preserve">Incorporación de influencers de turismo latinoamericanos como supervendedores</w:t>
      </w:r>
    </w:p>
    <w:p>
      <w:pPr>
        <w:pStyle w:val="ListParagraph"/>
        <w:numPr>
          <w:ilvl w:val="0"/>
          <w:numId w:val="2"/>
        </w:numPr>
        <w:spacing w:after="100"/>
      </w:pPr>
      <w:r>
        <w:rPr>
          <w:rFonts w:ascii="Arial" w:cs="Arial" w:eastAsia="Arial" w:hAnsi="Arial"/>
          <w:sz w:val="22"/>
          <w:szCs w:val="22"/>
        </w:rPr>
        <w:t xml:space="preserve">Mercado secundario de reservas como producto standalone</w:t>
      </w:r>
    </w:p>
    <w:p>
      <w:pPr>
        <w:pStyle w:val="ListParagraph"/>
        <w:numPr>
          <w:ilvl w:val="0"/>
          <w:numId w:val="2"/>
        </w:numPr>
        <w:spacing w:after="100"/>
      </w:pPr>
      <w:r>
        <w:rPr>
          <w:rFonts w:ascii="Arial" w:cs="Arial" w:eastAsia="Arial" w:hAnsi="Arial"/>
          <w:sz w:val="22"/>
          <w:szCs w:val="22"/>
        </w:rPr>
        <w:t xml:space="preserve">B2B: vender la infraestructura de distribución a DMOs (organizaciones de manejo de destinos) y agencias</w:t>
      </w:r>
    </w:p>
    <w:p>
      <w:pPr>
        <w:pStyle w:val="Heading2"/>
        <w:spacing w:after="140" w:before="280"/>
      </w:pPr>
      <w:r>
        <w:rPr>
          <w:rFonts w:ascii="Arial" w:cs="Arial" w:eastAsia="Arial" w:hAnsi="Arial"/>
          <w:b/>
          <w:bCs/>
          <w:color w:val="1A1A2E"/>
          <w:sz w:val="26"/>
          <w:szCs w:val="26"/>
        </w:rPr>
        <w:t xml:space="preserve">8.3 Oportunidades Generadas por el Contexto Salarial</w:t>
      </w:r>
    </w:p>
    <w:p>
      <w:pPr>
        <w:pStyle w:val="ListParagraph"/>
        <w:numPr>
          <w:ilvl w:val="0"/>
          <w:numId w:val="2"/>
        </w:numPr>
        <w:spacing w:after="100"/>
      </w:pPr>
      <w:r>
        <w:rPr>
          <w:rFonts w:ascii="Arial" w:cs="Arial" w:eastAsia="Arial" w:hAnsi="Arial"/>
          <w:sz w:val="22"/>
          <w:szCs w:val="22"/>
        </w:rPr>
        <w:t xml:space="preserve">La necesidad de ingresos adicionales en dólares crea una demanda natural de incorporarse como vendedor OTC sin fricción de 'por qué lo haría'</w:t>
      </w:r>
    </w:p>
    <w:p>
      <w:pPr>
        <w:pStyle w:val="ListParagraph"/>
        <w:numPr>
          <w:ilvl w:val="0"/>
          <w:numId w:val="2"/>
        </w:numPr>
        <w:spacing w:after="100"/>
      </w:pPr>
      <w:r>
        <w:rPr>
          <w:rFonts w:ascii="Arial" w:cs="Arial" w:eastAsia="Arial" w:hAnsi="Arial"/>
          <w:sz w:val="22"/>
          <w:szCs w:val="22"/>
        </w:rPr>
        <w:t xml:space="preserve">Segmento 18-30 años: alta penetración digital + salarios entry-level bajos = motivación máxima para monetizar audiencias</w:t>
      </w:r>
    </w:p>
    <w:p>
      <w:pPr>
        <w:pStyle w:val="ListParagraph"/>
        <w:numPr>
          <w:ilvl w:val="0"/>
          <w:numId w:val="2"/>
        </w:numPr>
        <w:spacing w:after="100"/>
      </w:pPr>
      <w:r>
        <w:rPr>
          <w:rFonts w:ascii="Arial" w:cs="Arial" w:eastAsia="Arial" w:hAnsi="Arial"/>
          <w:sz w:val="22"/>
          <w:szCs w:val="22"/>
        </w:rPr>
        <w:t xml:space="preserve">Sector gastronómico mendocino (mozos, bartenders, sommeliers): alta exposición a turistas + bajos salarios formales</w:t>
      </w:r>
    </w:p>
    <w:p>
      <w:pPr>
        <w:pStyle w:val="Heading2"/>
        <w:spacing w:after="140" w:before="280"/>
      </w:pPr>
      <w:r>
        <w:rPr>
          <w:rFonts w:ascii="Arial" w:cs="Arial" w:eastAsia="Arial" w:hAnsi="Arial"/>
          <w:b/>
          <w:bCs/>
          <w:color w:val="1A1A2E"/>
          <w:sz w:val="26"/>
          <w:szCs w:val="26"/>
        </w:rPr>
        <w:t xml:space="preserve">8.4 Riesgos a Monitorear</w:t>
      </w:r>
    </w:p>
    <w:p>
      <w:pPr>
        <w:pStyle w:val="ListParagraph"/>
        <w:numPr>
          <w:ilvl w:val="0"/>
          <w:numId w:val="2"/>
        </w:numPr>
        <w:spacing w:after="100"/>
      </w:pPr>
      <w:r>
        <w:rPr>
          <w:rFonts w:ascii="Arial" w:cs="Arial" w:eastAsia="Arial" w:hAnsi="Arial"/>
          <w:sz w:val="22"/>
          <w:szCs w:val="22"/>
        </w:rPr>
        <w:t xml:space="preserve">Regulación de criptoactivos en Argentina: volatilidad del marco legal</w:t>
      </w:r>
    </w:p>
    <w:p>
      <w:pPr>
        <w:pStyle w:val="ListParagraph"/>
        <w:numPr>
          <w:ilvl w:val="0"/>
          <w:numId w:val="2"/>
        </w:numPr>
        <w:spacing w:after="100"/>
      </w:pPr>
      <w:r>
        <w:rPr>
          <w:rFonts w:ascii="Arial" w:cs="Arial" w:eastAsia="Arial" w:hAnsi="Arial"/>
          <w:sz w:val="22"/>
          <w:szCs w:val="22"/>
        </w:rPr>
        <w:t xml:space="preserve">Copiabilidad del modelo por actores existentes con mayor capital (Viator, TripAdvisor)</w:t>
      </w:r>
    </w:p>
    <w:p>
      <w:pPr>
        <w:pStyle w:val="ListParagraph"/>
        <w:numPr>
          <w:ilvl w:val="0"/>
          <w:numId w:val="2"/>
        </w:numPr>
        <w:spacing w:after="100"/>
      </w:pPr>
      <w:r>
        <w:rPr>
          <w:rFonts w:ascii="Arial" w:cs="Arial" w:eastAsia="Arial" w:hAnsi="Arial"/>
          <w:sz w:val="22"/>
          <w:szCs w:val="22"/>
        </w:rPr>
        <w:t xml:space="preserve">Fricción de onboarding para vendedores sin experiencia en tecnología</w:t>
      </w:r>
    </w:p>
    <w:p>
      <w:pPr>
        <w:pStyle w:val="ListParagraph"/>
        <w:numPr>
          <w:ilvl w:val="0"/>
          <w:numId w:val="2"/>
        </w:numPr>
        <w:spacing w:after="100"/>
      </w:pPr>
      <w:r>
        <w:rPr>
          <w:rFonts w:ascii="Arial" w:cs="Arial" w:eastAsia="Arial" w:hAnsi="Arial"/>
          <w:sz w:val="22"/>
          <w:szCs w:val="22"/>
        </w:rPr>
        <w:t xml:space="preserve">Necesidad de masa crítica simultánea en ambos lados del marketplace</w:t>
      </w:r>
    </w:p>
    <w:p>
      <w:r>
        <w:br w:type="page"/>
      </w:r>
    </w:p>
    <w:p>
      <w:pPr>
        <w:pStyle w:val="Heading1"/>
        <w:pBdr>
          <w:bottom w:val="single" w:color="1F5C8B" w:sz="6" w:space="4"/>
        </w:pBdr>
        <w:spacing w:after="200" w:before="360"/>
      </w:pPr>
      <w:r>
        <w:rPr>
          <w:rFonts w:ascii="Arial" w:cs="Arial" w:eastAsia="Arial" w:hAnsi="Arial"/>
          <w:b/>
          <w:bCs/>
          <w:color w:val="1F5C8B"/>
          <w:sz w:val="32"/>
          <w:szCs w:val="32"/>
        </w:rPr>
        <w:t xml:space="preserve">9. Conclusiones</w:t>
      </w:r>
    </w:p>
    <w:p>
      <w:pPr>
        <w:spacing w:after="160"/>
        <w:jc w:val="both"/>
      </w:pPr>
      <w:r>
        <w:rPr>
          <w:rFonts w:ascii="Arial" w:cs="Arial" w:eastAsia="Arial" w:hAnsi="Arial"/>
          <w:sz w:val="22"/>
          <w:szCs w:val="22"/>
        </w:rPr>
        <w:t xml:space="preserve">La investigación de mercado confirma que OTC opera en una intersección única de tres tendencias convergentes: el crecimiento sostenido del turismo experiencial en Mendoza (+15.87% en 2025), la expansión de la economía independiente en Argentina (+75.600 nuevos trabajadores independientes en 2025) y la maduración de la infraestructura blockchain para pagos automáticos.</w:t>
      </w:r>
    </w:p>
    <w:p>
      <w:pPr>
        <w:spacing w:after="160"/>
        <w:jc w:val="both"/>
      </w:pPr>
      <w:r>
        <w:rPr>
          <w:rFonts w:ascii="Arial" w:cs="Arial" w:eastAsia="Arial" w:hAnsi="Arial"/>
          <w:sz w:val="22"/>
          <w:szCs w:val="22"/>
        </w:rPr>
        <w:t xml:space="preserve">El análisis salarial de Mendoza aporta una dimensión crítica que no estaba en la narrativa inicial: el trabajador promedio mendocino no tiene margen económico para absorber imprevistos. La provincia ocupa el puesto 17 de 24 en el ranking salarial nacional, y el salario mínimo cubre apenas el 37% de la canasta básica. Este contexto convierte a OTC —y su propuesta de ingreso adicional en dólares sin inversión— en una solución urgente, no solo conveniente.</w:t>
      </w:r>
    </w:p>
    <w:p>
      <w:pPr>
        <w:spacing w:after="160"/>
        <w:jc w:val="both"/>
      </w:pPr>
      <w:r>
        <w:rPr>
          <w:rFonts w:ascii="Arial" w:cs="Arial" w:eastAsia="Arial" w:hAnsi="Arial"/>
          <w:sz w:val="22"/>
          <w:szCs w:val="22"/>
        </w:rPr>
        <w:t xml:space="preserve">El mercado global de tours y experiencias superará USD 267.000 millones en 2030, pero la mayor parte de ese valor seguirá siendo capturado por OTAs que cobran entre 20 y 35% de comisión. OTC se posiciona como alternativa que reduce esa fricción, democratiza la distribución y comparte el valor con los agentes locales.</w:t>
      </w:r>
    </w:p>
    <w:p>
      <w:pPr>
        <w:spacing w:after="160"/>
        <w:jc w:val="both"/>
      </w:pPr>
      <w:r>
        <w:rPr>
          <w:rFonts w:ascii="Arial" w:cs="Arial" w:eastAsia="Arial" w:hAnsi="Arial"/>
          <w:sz w:val="22"/>
          <w:szCs w:val="22"/>
        </w:rPr>
        <w:t xml:space="preserve">La oportunidad es real, el timing es correcto y el mercado local tiene la masa crítica necesaria para una validación inicial exitosa. Los riesgos principales son operativos (doble mercado, adopción tecnológica) más que de demanda.</w:t>
      </w:r>
    </w:p>
    <w:p>
      <w:pPr>
        <w:spacing w:before="400"/>
        <w:jc w:val="center"/>
      </w:pPr>
      <w:r>
        <w:rPr>
          <w:rFonts w:ascii="Arial" w:cs="Arial" w:eastAsia="Arial" w:hAnsi="Arial"/>
          <w:color w:val="1F5C8B"/>
          <w:sz w:val="22"/>
          <w:szCs w:val="22"/>
        </w:rPr>
        <w:t xml:space="preserve">* * *</w:t>
      </w:r>
    </w:p>
    <w:p>
      <w:pPr>
        <w:spacing w:after="160"/>
        <w:jc w:val="center"/>
      </w:pPr>
      <w:r>
        <w:rPr>
          <w:rFonts w:ascii="Arial" w:cs="Arial" w:eastAsia="Arial" w:hAnsi="Arial"/>
          <w:i/>
          <w:iCs/>
          <w:color w:val="888888"/>
          <w:sz w:val="22"/>
          <w:szCs w:val="22"/>
        </w:rPr>
        <w:t xml:space="preserve">Mendoza, Argentina — 2025</w:t>
      </w:r>
    </w:p>
    <w:p>
      <w:pPr>
        <w:spacing w:after="160"/>
        <w:jc w:val="center"/>
      </w:pPr>
      <w:r>
        <w:rPr>
          <w:rFonts w:ascii="Arial" w:cs="Arial" w:eastAsia="Arial" w:hAnsi="Arial"/>
          <w:b/>
          <w:bCs/>
          <w:sz w:val="22"/>
          <w:szCs w:val="22"/>
        </w:rPr>
        <w:t xml:space="preserve">OTC — Open Tourism Commerce</w:t>
      </w:r>
    </w:p>
    <w:p>
      <w:pPr>
        <w:pageBreakBefore/>
        <w:spacing w:before="240" w:after="240"/>
      </w:pPr>
      <w:r>
        <w:rPr>
          <w:rFonts w:ascii="Arial" w:cs="Arial" w:eastAsia="Arial" w:hAnsi="Arial"/>
          <w:b/>
          <w:bCs/>
          <w:color w:val="1F5C8B"/>
          <w:sz w:val="32"/>
          <w:szCs w:val="32"/>
        </w:rPr>
        <w:t xml:space="preserve">10. Fuentes y Referencias</w:t>
      </w:r>
    </w:p>
    <w:p>
      <w:pPr>
        <w:spacing w:before="200" w:after="80"/>
      </w:pPr>
      <w:r>
        <w:rPr>
          <w:rFonts w:ascii="Arial" w:cs="Arial" w:eastAsia="Arial" w:hAnsi="Arial"/>
          <w:b/>
          <w:bCs/>
          <w:color w:val="2E75B6"/>
          <w:sz w:val="24"/>
          <w:szCs w:val="24"/>
        </w:rPr>
        <w:t>A. Turismo en Mendoza y Argentina</w:t>
      </w:r>
    </w:p>
    <w:p>
      <w:pPr>
        <w:spacing w:after="60"/>
      </w:pPr>
      <w:r>
        <w:rPr>
          <w:rFonts w:ascii="Arial" w:cs="Arial" w:eastAsia="Arial" w:hAnsi="Arial"/>
          <w:sz w:val="20"/>
          <w:szCs w:val="20"/>
        </w:rPr>
        <w:t xml:space="preserve">[1] Gobierno de Mendoza – “Con casi 900 bodegas, 230 de ellas abiertas al turismo, Mendoza afianza su perfil como polo enoturístico” (2024). Datos: 876 bodegas, 71.8% del total país, 230 abiertas al turismo.</w:t>
      </w:r>
    </w:p>
    <w:p>
      <w:pPr>
        <w:spacing w:after="120"/>
      </w:pPr>
      <w:r>
        <w:rPr>
          <w:rFonts w:ascii="Arial" w:cs="Arial" w:eastAsia="Arial" w:hAnsi="Arial"/>
          <w:color w:val="1F5C8B"/>
          <w:sz w:val="20"/>
          <w:szCs w:val="20"/>
        </w:rPr>
        <w:t>https://www.mendoza.gov.ar/prensa/con-casi-900-bodegas-y-230-abiertas-al-turismo-mendoza-afianza-su-perfil-como-polo-enoturistico/</w:t>
      </w:r>
    </w:p>
    <w:p>
      <w:pPr>
        <w:spacing w:after="60"/>
      </w:pPr>
      <w:r>
        <w:rPr>
          <w:rFonts w:ascii="Arial" w:cs="Arial" w:eastAsia="Arial" w:hAnsi="Arial"/>
          <w:sz w:val="20"/>
          <w:szCs w:val="20"/>
        </w:rPr>
        <w:t xml:space="preserve">[2] Gobierno de Mendoza – Observatorio Económico de Turismo del Vino 2024. Fuente para datos de enoturismo: distribución geográfica, visitantes, empleo y crecimiento del sector.</w:t>
      </w:r>
    </w:p>
    <w:p>
      <w:pPr>
        <w:spacing w:after="120"/>
      </w:pPr>
      <w:r>
        <w:rPr>
          <w:rFonts w:ascii="Arial" w:cs="Arial" w:eastAsia="Arial" w:hAnsi="Arial"/>
          <w:color w:val="1F5C8B"/>
          <w:sz w:val="20"/>
          <w:szCs w:val="20"/>
        </w:rPr>
        <w:t>https://www.mendoza.gov.ar/wp-content/uploads/sites/20/2025/04/Informe-enoturismo-2024-1.pdf</w:t>
      </w:r>
    </w:p>
    <w:p>
      <w:pPr>
        <w:spacing w:after="60"/>
      </w:pPr>
      <w:r>
        <w:rPr>
          <w:rFonts w:ascii="Arial" w:cs="Arial" w:eastAsia="Arial" w:hAnsi="Arial"/>
          <w:sz w:val="20"/>
          <w:szCs w:val="20"/>
        </w:rPr>
        <w:t xml:space="preserve">[3] Gobierno de Mendoza – “Mendoza tuvo un buen inicio de año en materia turística” (2025). Dato: crecimiento del 15,87% en llegadas durante enero 2025 vs. mismo período 2024, según datos de Aeropuertos Argentina 2000.</w:t>
      </w:r>
    </w:p>
    <w:p>
      <w:pPr>
        <w:spacing w:after="120"/>
      </w:pPr>
      <w:r>
        <w:rPr>
          <w:rFonts w:ascii="Arial" w:cs="Arial" w:eastAsia="Arial" w:hAnsi="Arial"/>
          <w:color w:val="1F5C8B"/>
          <w:sz w:val="20"/>
          <w:szCs w:val="20"/>
        </w:rPr>
        <w:t>https://www.mendoza.gov.ar/prensa/mendoza-tuvo-un-buen-inicio-de-ano-en-materia-turistica/</w:t>
      </w:r>
    </w:p>
    <w:p>
      <w:pPr>
        <w:spacing w:after="60"/>
      </w:pPr>
      <w:r>
        <w:rPr>
          <w:rFonts w:ascii="Arial" w:cs="Arial" w:eastAsia="Arial" w:hAnsi="Arial"/>
          <w:sz w:val="20"/>
          <w:szCs w:val="20"/>
        </w:rPr>
        <w:t xml:space="preserve">[4] Datos Abiertos Mendoza – Dataset Enoturismo. Portal oficial de datos del gobierno provincial con series históricas.</w:t>
      </w:r>
    </w:p>
    <w:p>
      <w:pPr>
        <w:spacing w:after="120"/>
      </w:pPr>
      <w:r>
        <w:rPr>
          <w:rFonts w:ascii="Arial" w:cs="Arial" w:eastAsia="Arial" w:hAnsi="Arial"/>
          <w:color w:val="1F5C8B"/>
          <w:sz w:val="20"/>
          <w:szCs w:val="20"/>
        </w:rPr>
        <w:t>https://datosabiertos.mendoza.gov.ar/dataset/enoturismo</w:t>
      </w:r>
    </w:p>
    <w:p>
      <w:pPr>
        <w:spacing w:after="60"/>
      </w:pPr>
      <w:r>
        <w:rPr>
          <w:rFonts w:ascii="Arial" w:cs="Arial" w:eastAsia="Arial" w:hAnsi="Arial"/>
          <w:sz w:val="20"/>
          <w:szCs w:val="20"/>
        </w:rPr>
        <w:t xml:space="preserve">[5] INDEC – Estadísticas de Turismo Internacional (ETI) – Informe anual 2024. Dato: caída del 8,4% en llegadas de turistas no residentes a Argentina; 6,2 millones de turistas en el año.</w:t>
      </w:r>
    </w:p>
    <w:p>
      <w:pPr>
        <w:spacing w:after="120"/>
      </w:pPr>
      <w:r>
        <w:rPr>
          <w:rFonts w:ascii="Arial" w:cs="Arial" w:eastAsia="Arial" w:hAnsi="Arial"/>
          <w:color w:val="1F5C8B"/>
          <w:sz w:val="20"/>
          <w:szCs w:val="20"/>
        </w:rPr>
        <w:t>https://www.indec.gob.ar/uploads/informesdeprensa/eti_01_2524CFA9C40A.pdf</w:t>
      </w:r>
    </w:p>
    <w:p>
      <w:pPr>
        <w:spacing w:after="60"/>
      </w:pPr>
      <w:r>
        <w:rPr>
          <w:rFonts w:ascii="Arial" w:cs="Arial" w:eastAsia="Arial" w:hAnsi="Arial"/>
          <w:sz w:val="20"/>
          <w:szCs w:val="20"/>
        </w:rPr>
        <w:t xml:space="preserve">[6] Dirección de Estadísticas e Investigaciones Económicas (DEIE) – Gobierno de Mendoza. Portal de estadísticas provinciales de ocupación, salarios y actividad económica.</w:t>
      </w:r>
    </w:p>
    <w:p>
      <w:pPr>
        <w:spacing w:after="120"/>
      </w:pPr>
      <w:r>
        <w:rPr>
          <w:rFonts w:ascii="Arial" w:cs="Arial" w:eastAsia="Arial" w:hAnsi="Arial"/>
          <w:color w:val="1F5C8B"/>
          <w:sz w:val="20"/>
          <w:szCs w:val="20"/>
        </w:rPr>
        <w:t>https://deie.mendoza.gov.ar/</w:t>
      </w:r>
    </w:p>
    <w:p>
      <w:pPr>
        <w:spacing w:before="200" w:after="80"/>
      </w:pPr>
      <w:r>
        <w:rPr>
          <w:rFonts w:ascii="Arial" w:cs="Arial" w:eastAsia="Arial" w:hAnsi="Arial"/>
          <w:b/>
          <w:bCs/>
          <w:color w:val="2E75B6"/>
          <w:sz w:val="24"/>
          <w:szCs w:val="24"/>
        </w:rPr>
        <w:t>B. Mercado Global de Tours y Experiencias</w:t>
      </w:r>
    </w:p>
    <w:p>
      <w:pPr>
        <w:spacing w:after="60"/>
      </w:pPr>
      <w:r>
        <w:rPr>
          <w:rFonts w:ascii="Arial" w:cs="Arial" w:eastAsia="Arial" w:hAnsi="Arial"/>
          <w:sz w:val="20"/>
          <w:szCs w:val="20"/>
        </w:rPr>
        <w:t xml:space="preserve">[7] Statista – “Experiential travel: tours, activities and attractions”. Dato: mercado global de viajes experienciales estimado en ~USD 360.000 millones en 2025 (definición amplia incluyendo atracciones, museos y experiencias).</w:t>
      </w:r>
    </w:p>
    <w:p>
      <w:pPr>
        <w:spacing w:after="120"/>
      </w:pPr>
      <w:r>
        <w:rPr>
          <w:rFonts w:ascii="Arial" w:cs="Arial" w:eastAsia="Arial" w:hAnsi="Arial"/>
          <w:color w:val="1F5C8B"/>
          <w:sz w:val="20"/>
          <w:szCs w:val="20"/>
        </w:rPr>
        <w:t>https://www.statista.com/topics/13250/experiential-travel-tours-activities-and-attractions/</w:t>
      </w:r>
    </w:p>
    <w:p>
      <w:pPr>
        <w:spacing w:after="60"/>
      </w:pPr>
      <w:r>
        <w:rPr>
          <w:rFonts w:ascii="Arial" w:cs="Arial" w:eastAsia="Arial" w:hAnsi="Arial"/>
          <w:sz w:val="20"/>
          <w:szCs w:val="20"/>
        </w:rPr>
        <w:t xml:space="preserve">[8] GII Research / Research and Markets – “Tours and Activities Reservations Market 2025-2030”. Dato: mercado de reservas de tours valuado en USD 172.960 millones en 2024, proyectado a USD 185.520 millones en 2025.</w:t>
      </w:r>
    </w:p>
    <w:p>
      <w:pPr>
        <w:spacing w:after="120"/>
      </w:pPr>
      <w:r>
        <w:rPr>
          <w:rFonts w:ascii="Arial" w:cs="Arial" w:eastAsia="Arial" w:hAnsi="Arial"/>
          <w:color w:val="1F5C8B"/>
          <w:sz w:val="20"/>
          <w:szCs w:val="20"/>
        </w:rPr>
        <w:t>https://www.giiresearch.com/report/ires1717864-tours-activities-reservations-market-by-size.html</w:t>
      </w:r>
    </w:p>
    <w:p>
      <w:pPr>
        <w:spacing w:after="60"/>
      </w:pPr>
      <w:r>
        <w:rPr>
          <w:rFonts w:ascii="Arial" w:cs="Arial" w:eastAsia="Arial" w:hAnsi="Arial"/>
          <w:sz w:val="20"/>
          <w:szCs w:val="20"/>
        </w:rPr>
        <w:t xml:space="preserve">[9] The Traveler – “The $300 Billion Travel Sector GetYourGuide Is Quietly Dominating”. Referencia de tamaño del mercado de actividades y tendencias de digitalización de OTAs.</w:t>
      </w:r>
    </w:p>
    <w:p>
      <w:pPr>
        <w:spacing w:after="120"/>
      </w:pPr>
      <w:r>
        <w:rPr>
          <w:rFonts w:ascii="Arial" w:cs="Arial" w:eastAsia="Arial" w:hAnsi="Arial"/>
          <w:color w:val="1F5C8B"/>
          <w:sz w:val="20"/>
          <w:szCs w:val="20"/>
        </w:rPr>
        <w:t>https://www.thetraveler.org/the-300-billion-travel-sector-getyourguide-is-quietly-dominating/</w:t>
      </w:r>
    </w:p>
    <w:p>
      <w:pPr>
        <w:spacing w:before="200" w:after="80"/>
      </w:pPr>
      <w:r>
        <w:rPr>
          <w:rFonts w:ascii="Arial" w:cs="Arial" w:eastAsia="Arial" w:hAnsi="Arial"/>
          <w:b/>
          <w:bCs/>
          <w:color w:val="2E75B6"/>
          <w:sz w:val="24"/>
          <w:szCs w:val="24"/>
        </w:rPr>
        <w:t>C. Mercado Laboral y Economía Freelance en Argentina</w:t>
      </w:r>
    </w:p>
    <w:p>
      <w:pPr>
        <w:spacing w:after="60"/>
      </w:pPr>
      <w:r>
        <w:rPr>
          <w:rFonts w:ascii="Arial" w:cs="Arial" w:eastAsia="Arial" w:hAnsi="Arial"/>
          <w:sz w:val="20"/>
          <w:szCs w:val="20"/>
        </w:rPr>
        <w:t xml:space="preserve">[10] INDEC – Indicadores de Informalidad Laboral (EPH) – 4.º trimestre 2025. Dato: 43% de los trabajadores argentinos en condición informal (~13,5 millones de ocupados relevados en 31 aglomerados urbanos).</w:t>
      </w:r>
    </w:p>
    <w:p>
      <w:pPr>
        <w:spacing w:after="120"/>
      </w:pPr>
      <w:r>
        <w:rPr>
          <w:rFonts w:ascii="Arial" w:cs="Arial" w:eastAsia="Arial" w:hAnsi="Arial"/>
          <w:color w:val="1F5C8B"/>
          <w:sz w:val="20"/>
          <w:szCs w:val="20"/>
        </w:rPr>
        <w:t>https://www.indec.gob.ar/uploads/informesdeprensa/informalidad_laboral_eph_04_26798CEA49F8.pdf</w:t>
      </w:r>
    </w:p>
    <w:p>
      <w:pPr>
        <w:spacing w:after="60"/>
      </w:pPr>
      <w:r>
        <w:rPr>
          <w:rFonts w:ascii="Arial" w:cs="Arial" w:eastAsia="Arial" w:hAnsi="Arial"/>
          <w:sz w:val="20"/>
          <w:szCs w:val="20"/>
        </w:rPr>
        <w:t xml:space="preserve">[11] Ámbito Financiero – “Monotributo: ya hay 4,7 millones de contribuyentes y se consolida como alternativa a la informalidad”. Dato: 4,7 millones de monotributistas en máximos históricos.</w:t>
      </w:r>
    </w:p>
    <w:p>
      <w:pPr>
        <w:spacing w:after="120"/>
      </w:pPr>
      <w:r>
        <w:rPr>
          <w:rFonts w:ascii="Arial" w:cs="Arial" w:eastAsia="Arial" w:hAnsi="Arial"/>
          <w:color w:val="1F5C8B"/>
          <w:sz w:val="20"/>
          <w:szCs w:val="20"/>
        </w:rPr>
        <w:t>https://www.ambito.com/economia/monotributo-ya-hay-47-millones-contribuyentes-y-se-consolida-como-alternativa-la-informalidad-n6221220</w:t>
      </w:r>
    </w:p>
    <w:p>
      <w:pPr>
        <w:spacing w:after="60"/>
      </w:pPr>
      <w:r>
        <w:rPr>
          <w:rFonts w:ascii="Arial" w:cs="Arial" w:eastAsia="Arial" w:hAnsi="Arial"/>
          <w:sz w:val="20"/>
          <w:szCs w:val="20"/>
        </w:rPr>
        <w:t xml:space="preserve">[12] Inteligencia Argentina – “El 24,2% de la base activa laboral en Argentina son freelancers e independientes”. Contexto sobre penetración del trabajo independiente en el mercado laboral argentino.</w:t>
      </w:r>
    </w:p>
    <w:p>
      <w:pPr>
        <w:spacing w:after="120"/>
      </w:pPr>
      <w:r>
        <w:rPr>
          <w:rFonts w:ascii="Arial" w:cs="Arial" w:eastAsia="Arial" w:hAnsi="Arial"/>
          <w:color w:val="1F5C8B"/>
          <w:sz w:val="20"/>
          <w:szCs w:val="20"/>
        </w:rPr>
        <w:t>https://inteligenciaargentina.ar/tendencias/el-242-de-la-base-activa-laboral-en-argentina-son-freelancers-e-independientes-como-manejar-los-ingresos-irregulares</w:t>
      </w:r>
    </w:p>
    <w:p>
      <w:pPr>
        <w:spacing w:before="200" w:after="80"/>
      </w:pPr>
      <w:r>
        <w:rPr>
          <w:rFonts w:ascii="Arial" w:cs="Arial" w:eastAsia="Arial" w:hAnsi="Arial"/>
          <w:b/>
          <w:bCs/>
          <w:color w:val="2E75B6"/>
          <w:sz w:val="24"/>
          <w:szCs w:val="24"/>
        </w:rPr>
        <w:t>D. Salarios y Contexto Económico de Mendoza</w:t>
      </w:r>
    </w:p>
    <w:p>
      <w:pPr>
        <w:spacing w:after="60"/>
      </w:pPr>
      <w:r>
        <w:rPr>
          <w:rFonts w:ascii="Arial" w:cs="Arial" w:eastAsia="Arial" w:hAnsi="Arial"/>
          <w:sz w:val="20"/>
          <w:szCs w:val="20"/>
        </w:rPr>
        <w:t xml:space="preserve">[13] El Editor Mendoza – “Tendencia que se consolida: el salario promedio de Mendoza está 36,5% por debajo del nacional”. Dato: salario promedio mendocino ARS $928.331 (oct. 2025); 36,5% por debajo de la media nacional de ARS $1.371.309.</w:t>
      </w:r>
    </w:p>
    <w:p>
      <w:pPr>
        <w:spacing w:after="120"/>
      </w:pPr>
      <w:r>
        <w:rPr>
          <w:rFonts w:ascii="Arial" w:cs="Arial" w:eastAsia="Arial" w:hAnsi="Arial"/>
          <w:color w:val="1F5C8B"/>
          <w:sz w:val="20"/>
          <w:szCs w:val="20"/>
        </w:rPr>
        <w:t>https://eleditormendoza.com.ar/politica/tendencia-que-se-consolida-el-salario-promedio-mendoza-esta-365-debajo-del-nacional-n5370788</w:t>
      </w:r>
    </w:p>
    <w:p>
      <w:pPr>
        <w:spacing w:after="60"/>
      </w:pPr>
      <w:r>
        <w:rPr>
          <w:rFonts w:ascii="Arial" w:cs="Arial" w:eastAsia="Arial" w:hAnsi="Arial"/>
          <w:sz w:val="20"/>
          <w:szCs w:val="20"/>
        </w:rPr>
        <w:t xml:space="preserve">[14] INDEC – Canasta Básica Total (CBT). Portal oficial de INDEC para valores de línea de pobreza por región y tipo de familia. Actualización mensual.</w:t>
      </w:r>
    </w:p>
    <w:p>
      <w:pPr>
        <w:spacing w:after="120"/>
      </w:pPr>
      <w:r>
        <w:rPr>
          <w:rFonts w:ascii="Arial" w:cs="Arial" w:eastAsia="Arial" w:hAnsi="Arial"/>
          <w:color w:val="1F5C8B"/>
          <w:sz w:val="20"/>
          <w:szCs w:val="20"/>
        </w:rPr>
        <w:t>https://www.indec.gob.ar/indec/web/Nivel3-Tema-4-43</w:t>
      </w:r>
    </w:p>
    <w:p>
      <w:pPr>
        <w:spacing w:after="60"/>
      </w:pPr>
      <w:r>
        <w:rPr>
          <w:rFonts w:ascii="Arial" w:cs="Arial" w:eastAsia="Arial" w:hAnsi="Arial"/>
          <w:sz w:val="20"/>
          <w:szCs w:val="20"/>
        </w:rPr>
        <w:t xml:space="preserve">[15] El Sol (Mendoza) – “Mendoza le ganó la carrera a la inflación en 2025, pero sigue en el fondo del ranking nacional de salarios”. Contexto complementario sobre salarios provinciales y poder adquisitivo.</w:t>
      </w:r>
    </w:p>
    <w:p>
      <w:pPr>
        <w:spacing w:after="120"/>
      </w:pPr>
      <w:r>
        <w:rPr>
          <w:rFonts w:ascii="Arial" w:cs="Arial" w:eastAsia="Arial" w:hAnsi="Arial"/>
          <w:color w:val="1F5C8B"/>
          <w:sz w:val="20"/>
          <w:szCs w:val="20"/>
        </w:rPr>
        <w:t>https://www.elsol.com.ar/mendoza/mendoza-le-gano-la-carrera-a-la-inflacion-en-2025-pero-sigue-en-el-fondo-del-ranking-nacional-de-salarios/</w:t>
      </w:r>
    </w:p>
    <w:p>
      <w:pPr>
        <w:spacing w:before="200" w:after="80"/>
      </w:pPr>
      <w:r>
        <w:rPr>
          <w:rFonts w:ascii="Arial" w:cs="Arial" w:eastAsia="Arial" w:hAnsi="Arial"/>
          <w:b/>
          <w:bCs/>
          <w:color w:val="2E75B6"/>
          <w:sz w:val="24"/>
          <w:szCs w:val="24"/>
        </w:rPr>
        <w:t>E. Blockchain y Tecnología en Turismo</w:t>
      </w:r>
    </w:p>
    <w:p>
      <w:pPr>
        <w:spacing w:after="60"/>
      </w:pPr>
      <w:r>
        <w:rPr>
          <w:rFonts w:ascii="Arial" w:cs="Arial" w:eastAsia="Arial" w:hAnsi="Arial"/>
          <w:sz w:val="20"/>
          <w:szCs w:val="20"/>
        </w:rPr>
        <w:t xml:space="preserve">[16] Stats and Data – “Global Blockchain Tourism Market Risk Analysis 2025-2032”. Dato: mercado de blockchain en turismo valuado en USD 2.500 millones en 2025; proyección USD 25.000 millones para 2033 (CAGR 35%).</w:t>
      </w:r>
    </w:p>
    <w:p>
      <w:pPr>
        <w:spacing w:after="120"/>
      </w:pPr>
      <w:r>
        <w:rPr>
          <w:rFonts w:ascii="Arial" w:cs="Arial" w:eastAsia="Arial" w:hAnsi="Arial"/>
          <w:color w:val="1F5C8B"/>
          <w:sz w:val="20"/>
          <w:szCs w:val="20"/>
        </w:rPr>
        <w:t>https://www.statsndata.org/report/blockchain-tourism-market-376785</w:t>
      </w:r>
    </w:p>
    <w:p>
      <w:pPr>
        <w:spacing w:after="60"/>
      </w:pPr>
      <w:r>
        <w:rPr>
          <w:rFonts w:ascii="Arial" w:cs="Arial" w:eastAsia="Arial" w:hAnsi="Arial"/>
          <w:sz w:val="20"/>
          <w:szCs w:val="20"/>
        </w:rPr>
        <w:t xml:space="preserve">[17] Blockchain Reporter / Crypto Economy – “Travala.com Reshapes Travel and Tourism by Integrating Crypto Payments”. Dato: Travala procesó más de USD 100 millones en reservas en 2024, con USD 80 millones pagados en criptomonedas.</w:t>
      </w:r>
    </w:p>
    <w:p>
      <w:pPr>
        <w:spacing w:after="120"/>
      </w:pPr>
      <w:r>
        <w:rPr>
          <w:rFonts w:ascii="Arial" w:cs="Arial" w:eastAsia="Arial" w:hAnsi="Arial"/>
          <w:color w:val="1F5C8B"/>
          <w:sz w:val="20"/>
          <w:szCs w:val="20"/>
        </w:rPr>
        <w:t>https://blockchainreporter.net/travala-com-reshapes-travel-and-tourism-by-integrating-crypto-payments/</w:t>
      </w:r>
    </w:p>
    <w:p>
      <w:pPr>
        <w:spacing w:after="60"/>
      </w:pPr>
      <w:r>
        <w:rPr>
          <w:rFonts w:ascii="Arial" w:cs="Arial" w:eastAsia="Arial" w:hAnsi="Arial"/>
          <w:sz w:val="20"/>
          <w:szCs w:val="20"/>
        </w:rPr>
        <w:t xml:space="preserve">[18] Coaxsoft – “A step up for the industry: A guide to blockchain in travel”. Referencia para casos de uso de blockchain en turismo: smart contracts, trazabilidad y pagos automáticos.</w:t>
      </w:r>
    </w:p>
    <w:p>
      <w:pPr>
        <w:spacing w:after="120"/>
      </w:pPr>
      <w:r>
        <w:rPr>
          <w:rFonts w:ascii="Arial" w:cs="Arial" w:eastAsia="Arial" w:hAnsi="Arial"/>
          <w:color w:val="1F5C8B"/>
          <w:sz w:val="20"/>
          <w:szCs w:val="20"/>
        </w:rPr>
        <w:t>https://coaxsoft.com/blog/a-guide-to-blockchain-in-travel</w:t>
      </w:r>
    </w:p>
    <w:p>
      <w:pPr>
        <w:spacing w:before="200" w:after="80"/>
      </w:pPr>
      <w:r>
        <w:rPr>
          <w:rFonts w:ascii="Arial" w:cs="Arial" w:eastAsia="Arial" w:hAnsi="Arial"/>
          <w:b/>
          <w:bCs/>
          <w:color w:val="2E75B6"/>
          <w:sz w:val="24"/>
          <w:szCs w:val="24"/>
        </w:rPr>
        <w:t>F. Notas Metodológicas</w:t>
      </w:r>
    </w:p>
    <w:p>
      <w:pPr>
        <w:spacing w:after="120"/>
        <w:jc w:val="both"/>
      </w:pPr>
      <w:r>
        <w:rPr>
          <w:rFonts w:ascii="Arial" w:cs="Arial" w:eastAsia="Arial" w:hAnsi="Arial"/>
          <w:i/>
          <w:iCs/>
          <w:color w:val="555555"/>
          <w:sz w:val="18"/>
          <w:szCs w:val="18"/>
        </w:rPr>
        <w:t xml:space="preserve">Los datos de mercado global (refs. [7] y [8]) presentan variaciones según la definición utilizada: USD 360.000 millones corresponde a la definición amplia de viajes experienciales (Statista), mientras que USD 185.520 millones corresponde estrictamente al mercado de reservas de tours y actividades (GII Research). Ambas son válidas para distintos niveles de análisis y se complementan.</w:t>
      </w:r>
    </w:p>
    <w:p>
      <w:pPr>
        <w:spacing w:after="120"/>
        <w:jc w:val="both"/>
      </w:pPr>
      <w:r>
        <w:rPr>
          <w:rFonts w:ascii="Arial" w:cs="Arial" w:eastAsia="Arial" w:hAnsi="Arial"/>
          <w:i/>
          <w:iCs/>
          <w:color w:val="555555"/>
          <w:sz w:val="18"/>
          <w:szCs w:val="18"/>
        </w:rPr>
        <w:t xml:space="preserve">Los datos salariales (ref. [13]) corresponden a octubre de 2025 según el Índice Interbanking y fuentes de prensa provincial. La Canasta Básica Total (ref. [14]) se actualiza mensualmente por INDEC y el valor referenciado corresponde al mismo período.</w:t>
      </w:r>
    </w:p>
    <w:p>
      <w:pPr>
        <w:spacing w:after="120"/>
        <w:jc w:val="both"/>
      </w:pPr>
      <w:r>
        <w:rPr>
          <w:rFonts w:ascii="Arial" w:cs="Arial" w:eastAsia="Arial" w:hAnsi="Arial"/>
          <w:i/>
          <w:iCs/>
          <w:color w:val="555555"/>
          <w:sz w:val="18"/>
          <w:szCs w:val="18"/>
        </w:rPr>
        <w:t xml:space="preserve">Las proyecciones financieras de OTC son estimaciones con hipótesis razonables basadas en los datos de mercado relevados. No constituyen garantías de resultados futuros.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8B" w:sz="4" w:space="4"/>
      </w:pBdr>
      <w:jc w:val="center"/>
    </w:pPr>
    <w:r>
      <w:rPr>
        <w:rFonts w:ascii="Arial" w:cs="Arial" w:eastAsia="Arial" w:hAnsi="Arial"/>
        <w:color w:val="888888"/>
        <w:sz w:val="16"/>
        <w:szCs w:val="16"/>
      </w:rPr>
      <w:t xml:space="preserve">OTC © 2025 — Confidencial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8B" w:sz="4" w:space="4"/>
      </w:pBdr>
      <w:tabs>
        <w:tab w:val="right" w:pos="9360"/>
      </w:tabs>
    </w:pPr>
    <w:r>
      <w:rPr>
        <w:rFonts w:ascii="Arial" w:cs="Arial" w:eastAsia="Arial" w:hAnsi="Arial"/>
        <w:b/>
        <w:bCs/>
        <w:color w:val="1F5C8B"/>
        <w:sz w:val="18"/>
        <w:szCs w:val="18"/>
      </w:rPr>
      <w:t xml:space="preserve">OTC — Open Tourism Commerce</w:t>
    </w:r>
    <w:r>
      <w:rPr>
        <w:rFonts w:ascii="Arial" w:cs="Arial" w:eastAsia="Arial" w:hAnsi="Arial"/>
        <w:sz w:val="18"/>
        <w:szCs w:val="18"/>
      </w:rPr>
      <w:t xml:space="preserve">	</w:t>
    </w:r>
    <w:r>
      <w:rPr>
        <w:rFonts w:ascii="Arial" w:cs="Arial" w:eastAsia="Arial" w:hAnsi="Arial"/>
        <w:color w:val="666666"/>
        <w:sz w:val="18"/>
        <w:szCs w:val="18"/>
      </w:rPr>
      <w:t xml:space="preserve">Investigación de Mercado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C8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5C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2026-06-23T01:00:42.060Z</dcterms:created>
  <dcterms:modified xsi:type="dcterms:W3CDTF">2026-06-23T01:00:42.060Z</dcterms:modified>
</cp:coreProperties>
</file>

<file path=docProps/custom.xml><?xml version="1.0" encoding="utf-8"?>
<Properties xmlns="http://schemas.openxmlformats.org/officeDocument/2006/custom-properties" xmlns:vt="http://schemas.openxmlformats.org/officeDocument/2006/docPropsVTypes"/>
</file>