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C9009" w14:textId="50E27052" w:rsidR="00EF5B2B" w:rsidRDefault="00B07F31" w:rsidP="00B628D6">
      <w:pPr>
        <w:pStyle w:val="Heading1"/>
        <w:rPr>
          <w:rFonts w:cs="Times New Roman"/>
        </w:rPr>
      </w:pPr>
      <w:r w:rsidRPr="00C630E6">
        <w:rPr>
          <w:rFonts w:cs="Times New Roman"/>
        </w:rPr>
        <w:t>Section 1: Climate Change Impacts, Exposures</w:t>
      </w:r>
      <w:r w:rsidR="005A100C" w:rsidRPr="00C630E6">
        <w:rPr>
          <w:rFonts w:cs="Times New Roman"/>
        </w:rPr>
        <w:t>,</w:t>
      </w:r>
      <w:r w:rsidRPr="00C630E6">
        <w:rPr>
          <w:rFonts w:cs="Times New Roman"/>
        </w:rPr>
        <w:t xml:space="preserve"> and Vulnerability</w:t>
      </w:r>
    </w:p>
    <w:p w14:paraId="796E6260" w14:textId="2AC65CA5" w:rsidR="00C60ED3" w:rsidRDefault="00C60ED3" w:rsidP="00C60ED3">
      <w:pPr>
        <w:pStyle w:val="Heading2"/>
      </w:pPr>
      <w:bookmarkStart w:id="0" w:name="_Toc42252739"/>
      <w:bookmarkStart w:id="1" w:name="_Toc42252740"/>
      <w:r>
        <w:t xml:space="preserve">1.1 Health and heat </w:t>
      </w:r>
    </w:p>
    <w:p w14:paraId="4AD82379" w14:textId="120CC685" w:rsidR="000A23D8" w:rsidRDefault="00C95051" w:rsidP="000A23D8">
      <w:pPr>
        <w:pStyle w:val="Heading3"/>
      </w:pPr>
      <w:r w:rsidRPr="00F3604D">
        <w:t xml:space="preserve">Indicator 1.1.1: </w:t>
      </w:r>
      <w:bookmarkEnd w:id="0"/>
      <w:r w:rsidR="00EF1490">
        <w:t xml:space="preserve">Exposure of Vulnerable Populations to heatwaves </w:t>
      </w:r>
    </w:p>
    <w:p w14:paraId="56F7A8F3" w14:textId="74B50F79" w:rsidR="00E5666E" w:rsidRDefault="00E5666E" w:rsidP="00E5666E">
      <w:pPr>
        <w:pStyle w:val="Methodsheadings"/>
      </w:pPr>
      <w:r>
        <w:t>Authors:</w:t>
      </w:r>
      <w:r w:rsidR="003F5F59">
        <w:t xml:space="preserve"> Federico Tartarini, Ollie Jay</w:t>
      </w:r>
    </w:p>
    <w:p w14:paraId="607E6C01" w14:textId="77777777" w:rsidR="00855AE4" w:rsidRDefault="00855AE4" w:rsidP="00855AE4">
      <w:pPr>
        <w:pStyle w:val="Methodsheadings"/>
      </w:pPr>
      <w:r>
        <w:t xml:space="preserve">Headline Finding </w:t>
      </w:r>
    </w:p>
    <w:p w14:paraId="0AF30B46" w14:textId="09CC3874" w:rsidR="00855AE4" w:rsidRPr="00F3604D" w:rsidRDefault="00997946" w:rsidP="00855AE4">
      <w:r w:rsidRPr="00997946">
        <w:t>Analysis of long-term trends shows a 342% increase in total heatwave exposure, rising from 369 million person-days in 1991-2000 to 1.63 billion person-days in 2015-2024</w:t>
      </w:r>
      <w:r w:rsidR="003B671E" w:rsidRPr="003B671E">
        <w:t>.</w:t>
      </w:r>
    </w:p>
    <w:p w14:paraId="29042BB6" w14:textId="77777777" w:rsidR="00855AE4" w:rsidRPr="00F3604D" w:rsidRDefault="00855AE4" w:rsidP="00855AE4">
      <w:pPr>
        <w:pStyle w:val="Methodsheadings"/>
        <w:rPr>
          <w:rFonts w:ascii="Calibri" w:hAnsi="Calibri"/>
        </w:rPr>
      </w:pPr>
      <w:r>
        <w:t>Geographic Coverage of Europe</w:t>
      </w:r>
    </w:p>
    <w:p w14:paraId="482D4827" w14:textId="6A630897" w:rsidR="00855AE4" w:rsidRPr="00C60ED3" w:rsidRDefault="00B45D09" w:rsidP="00855AE4">
      <w:r w:rsidRPr="00B45D09">
        <w:t>This indicator encompasses all European Environment Agency (EEA) member and cooperating countries, as well as the United Kingdom of Great Britain and Northern Ireland.</w:t>
      </w:r>
    </w:p>
    <w:p w14:paraId="0C35DFC8" w14:textId="77777777" w:rsidR="00855AE4" w:rsidRPr="00447574" w:rsidRDefault="00855AE4" w:rsidP="00855AE4">
      <w:pPr>
        <w:pStyle w:val="Methodsheadings"/>
        <w:rPr>
          <w:rFonts w:cs="Times New Roman"/>
        </w:rPr>
      </w:pPr>
      <w:r>
        <w:rPr>
          <w:rFonts w:cs="Times New Roman"/>
        </w:rPr>
        <w:t>Da</w:t>
      </w:r>
      <w:r w:rsidRPr="00447574">
        <w:rPr>
          <w:rFonts w:cs="Times New Roman"/>
        </w:rPr>
        <w:t>ta</w:t>
      </w:r>
    </w:p>
    <w:p w14:paraId="0ABC0C07" w14:textId="2E7641C9" w:rsidR="00855AE4" w:rsidRPr="00447574" w:rsidRDefault="00870C78" w:rsidP="00855AE4">
      <w:pPr>
        <w:pStyle w:val="ListParagraph"/>
        <w:numPr>
          <w:ilvl w:val="0"/>
          <w:numId w:val="1"/>
        </w:numPr>
      </w:pPr>
      <w:r w:rsidRPr="00447574">
        <w:rPr>
          <w:b/>
          <w:bCs/>
        </w:rPr>
        <w:t>Climate data:</w:t>
      </w:r>
      <w:r w:rsidRPr="00447574">
        <w:t xml:space="preserve"> </w:t>
      </w:r>
      <w:r w:rsidR="00CC60D3" w:rsidRPr="00447574">
        <w:t>We utilized ERA5 Land reanalysis data at 0.1° resolution. For each grid cell, we calculated the annual number of heatwave days</w:t>
      </w:r>
      <w:r w:rsidR="00CF5959" w:rsidRPr="00447574">
        <w:t>.</w:t>
      </w:r>
    </w:p>
    <w:p w14:paraId="51F62972" w14:textId="6D898EBE" w:rsidR="00CF5959" w:rsidRPr="00447574" w:rsidRDefault="006B7690" w:rsidP="00447574">
      <w:pPr>
        <w:pStyle w:val="ListParagraph"/>
        <w:numPr>
          <w:ilvl w:val="0"/>
          <w:numId w:val="1"/>
        </w:numPr>
      </w:pPr>
      <w:r w:rsidRPr="00447574">
        <w:rPr>
          <w:b/>
          <w:bCs/>
        </w:rPr>
        <w:t>Vulnerable population assessment:</w:t>
      </w:r>
      <w:r w:rsidRPr="00447574">
        <w:t xml:space="preserve"> We developed spatiotemporal demographic data using NASA SEDAC GPWv4 and Eurostat datasets. The spatial distribution of age demographics from 2010 was obtained from GPWv4. We projected Eurostat demographic census data mapped to NUTS2 regions (2016 definition) onto the grid, adjusting demographic proportions per grid cell for the years 2000-2021 relative to the 2010 baseline. Infant population was estimated by calculating the difference between total births and infant mortality. For missing Eurostat demographic, birth, and infant mortality data, we applied gap-filling methods using the most recent available preceding year data, followed by subsequent year data when necessary (forward-fill followed by back-fill)</w:t>
      </w:r>
    </w:p>
    <w:p w14:paraId="6B262D40" w14:textId="77777777" w:rsidR="00855AE4" w:rsidRDefault="00855AE4" w:rsidP="00855AE4">
      <w:pPr>
        <w:pStyle w:val="Methodsheadings"/>
        <w:rPr>
          <w:rFonts w:cs="Times New Roman"/>
        </w:rPr>
      </w:pPr>
      <w:r>
        <w:rPr>
          <w:rFonts w:cs="Times New Roman"/>
        </w:rPr>
        <w:t xml:space="preserve">Methods </w:t>
      </w:r>
    </w:p>
    <w:p w14:paraId="31EE01F5" w14:textId="34BB8F91" w:rsidR="006224A6" w:rsidRDefault="006224A6" w:rsidP="008D0F95">
      <w:r w:rsidRPr="006224A6">
        <w:t>Heatwaves are defined as periods of 2 or more consecutive days during which both minimum and maximum temperatures exceed the 95th percentile of the local climatology</w:t>
      </w:r>
      <w:r w:rsidR="004D5AFF">
        <w:t xml:space="preserve"> </w:t>
      </w:r>
      <w:r w:rsidR="004D5AFF" w:rsidRPr="004D5AFF">
        <w:t>(</w:t>
      </w:r>
      <w:commentRangeStart w:id="2"/>
      <w:r w:rsidR="004D5AFF" w:rsidRPr="004D5AFF">
        <w:t>REF</w:t>
      </w:r>
      <w:commentRangeEnd w:id="2"/>
      <w:r w:rsidR="00513DE8">
        <w:rPr>
          <w:rStyle w:val="CommentReference"/>
        </w:rPr>
        <w:commentReference w:id="2"/>
      </w:r>
      <w:r w:rsidR="004D5AFF" w:rsidRPr="004D5AFF">
        <w:t>)</w:t>
      </w:r>
      <w:r w:rsidRPr="006224A6">
        <w:t xml:space="preserve"> established using the </w:t>
      </w:r>
      <w:r w:rsidR="003878C1">
        <w:t>1991</w:t>
      </w:r>
      <w:r w:rsidR="009055BC">
        <w:t>-</w:t>
      </w:r>
      <w:r w:rsidR="003878C1">
        <w:t>200</w:t>
      </w:r>
      <w:r w:rsidRPr="006224A6">
        <w:t xml:space="preserve"> baseline period. The vulnerable population comprises individuals aged 65 and older, along with infants under one year of age—demographic groups that extensive research has identified as particularly susceptible to adverse health effects during heatwaves</w:t>
      </w:r>
      <w:r w:rsidR="00E369C8">
        <w:t xml:space="preserve"> </w:t>
      </w:r>
      <w:r w:rsidR="00E369C8" w:rsidRPr="00E369C8">
        <w:t>(</w:t>
      </w:r>
      <w:commentRangeStart w:id="3"/>
      <w:r w:rsidR="00E369C8" w:rsidRPr="00E369C8">
        <w:t>REF</w:t>
      </w:r>
      <w:commentRangeEnd w:id="3"/>
      <w:r w:rsidR="00363705">
        <w:rPr>
          <w:rStyle w:val="CommentReference"/>
        </w:rPr>
        <w:commentReference w:id="3"/>
      </w:r>
      <w:r w:rsidR="00E369C8" w:rsidRPr="00E369C8">
        <w:t>)</w:t>
      </w:r>
      <w:r w:rsidRPr="006224A6">
        <w:t>. Exposure was quantified by multiplying the number of heatwave days by the vulnerable population count, yielding an indicator measured in "person-days." This metric effectively captures both the changing frequency and duration of heatwave events across the study period.</w:t>
      </w:r>
    </w:p>
    <w:p w14:paraId="465FB45B" w14:textId="58D57203" w:rsidR="00576B02" w:rsidRDefault="00576B02" w:rsidP="00855AE4">
      <w:r w:rsidRPr="00576B02">
        <w:t xml:space="preserve">The analysis was conducted using Python, with all code available in a public repository: </w:t>
      </w:r>
      <w:r w:rsidR="00335D24" w:rsidRPr="00335D24">
        <w:t>https://github.com/FedericoTartarini/paper-lancet-countdown-europe</w:t>
      </w:r>
      <w:r w:rsidRPr="00576B02">
        <w:t>. To reproduce these results, users should first download the required datasets, then follow the detailed instructions provided in the repository's README file. The documentation includes comprehensive step-by-step guidance for executing the Python code and generating the complete analysis</w:t>
      </w:r>
      <w:r>
        <w:t>.</w:t>
      </w:r>
    </w:p>
    <w:p w14:paraId="38905821" w14:textId="77777777" w:rsidR="00855AE4" w:rsidRDefault="00855AE4" w:rsidP="00855AE4">
      <w:pPr>
        <w:pStyle w:val="Methodsheadings"/>
        <w:rPr>
          <w:rFonts w:cs="Times New Roman"/>
        </w:rPr>
      </w:pPr>
      <w:r>
        <w:rPr>
          <w:rFonts w:cs="Times New Roman"/>
        </w:rPr>
        <w:t xml:space="preserve">Caveats </w:t>
      </w:r>
    </w:p>
    <w:p w14:paraId="38266146" w14:textId="4FE56F00" w:rsidR="00855AE4" w:rsidRDefault="00AA49B4" w:rsidP="00855AE4">
      <w:r w:rsidRPr="00AA49B4">
        <w:t>To estimate demographic changes over time, we integrated data from multiple sources to capture both spatial distribution and temporal evolution of population characteristics. This combined methodology, while comprehensive, has undergone limited validation procedures.</w:t>
      </w:r>
    </w:p>
    <w:p w14:paraId="336E87D5" w14:textId="77777777" w:rsidR="00855AE4" w:rsidRDefault="00855AE4" w:rsidP="00855AE4">
      <w:pPr>
        <w:pStyle w:val="Methodsheadings"/>
        <w:rPr>
          <w:rFonts w:cs="Times New Roman"/>
        </w:rPr>
      </w:pPr>
      <w:r>
        <w:rPr>
          <w:rFonts w:cs="Times New Roman"/>
        </w:rPr>
        <w:t>Future Form of the Indicator</w:t>
      </w:r>
    </w:p>
    <w:p w14:paraId="3F1F9B6F" w14:textId="4DAC844D" w:rsidR="00213BC6" w:rsidRDefault="00213BC6" w:rsidP="00855AE4">
      <w:r w:rsidRPr="00213BC6">
        <w:t xml:space="preserve">This analysis will be updated annually using the most recent climate and population datasets. Future iterations may expand to include additional vulnerable demographics, such as pregnant women and individuals with chronic conditions </w:t>
      </w:r>
      <w:r w:rsidR="00901599">
        <w:t>who affect their ability to cope with the heat</w:t>
      </w:r>
      <w:r w:rsidRPr="00213BC6">
        <w:t xml:space="preserve">. </w:t>
      </w:r>
    </w:p>
    <w:p w14:paraId="51F03E33" w14:textId="271DD921" w:rsidR="00855AE4" w:rsidRDefault="00213BC6" w:rsidP="00855AE4">
      <w:r w:rsidRPr="00213BC6">
        <w:lastRenderedPageBreak/>
        <w:t>The heatwave definition may be refined to align with emerging standardization efforts by organizations like the World Meteorological Organization. Additionally, we plan to incorporate other environmental factors that influence human heat stress risk, particularly humidity, to provide a more comprehensive assessment of exposure.</w:t>
      </w:r>
    </w:p>
    <w:p w14:paraId="088F074B" w14:textId="77777777" w:rsidR="00855AE4" w:rsidRDefault="00855AE4" w:rsidP="00855AE4">
      <w:pPr>
        <w:pStyle w:val="Methodsheadings"/>
        <w:rPr>
          <w:rFonts w:cs="Times New Roman"/>
        </w:rPr>
      </w:pPr>
      <w:r>
        <w:rPr>
          <w:rFonts w:cs="Times New Roman"/>
        </w:rPr>
        <w:t>Additional analysis</w:t>
      </w:r>
    </w:p>
    <w:bookmarkEnd w:id="1"/>
    <w:p w14:paraId="28A667D0" w14:textId="75A34200" w:rsidR="00E064D7" w:rsidRDefault="009B2DAD" w:rsidP="007500FE">
      <w:r>
        <w:fldChar w:fldCharType="begin"/>
      </w:r>
      <w:r>
        <w:instrText xml:space="preserve"> REF _Ref194675242 \h </w:instrText>
      </w:r>
      <w:r>
        <w:fldChar w:fldCharType="separate"/>
      </w:r>
      <w:r>
        <w:t xml:space="preserve">Figure </w:t>
      </w:r>
      <w:r>
        <w:rPr>
          <w:noProof/>
        </w:rPr>
        <w:t>1</w:t>
      </w:r>
      <w:r>
        <w:fldChar w:fldCharType="end"/>
      </w:r>
      <w:r>
        <w:t xml:space="preserve"> </w:t>
      </w:r>
      <w:r w:rsidR="00E064D7" w:rsidRPr="00E064D7">
        <w:t xml:space="preserve">illustrates the </w:t>
      </w:r>
      <w:r w:rsidR="00513DE8">
        <w:t>mean</w:t>
      </w:r>
      <w:r w:rsidR="00E064D7" w:rsidRPr="00E064D7">
        <w:t xml:space="preserve"> annual number of heatwave days experienced by vulnerable populations (elderly individuals and infants) across each Nomenclature of Territorial Units for Statistics (NUTS) region during both the baseline period (1991-2000) and the comparison period (2015-2024). While heatwave frequency increased universally across all regions, Southern and Eastern Europe, along with Western Asia, experienced the most pronounced increases. Notably, several NUTS regions recorded more than 30 heatwave days annually during the 2015-2024 period</w:t>
      </w:r>
      <w:r w:rsidR="00FB2290">
        <w:t>.</w:t>
      </w:r>
    </w:p>
    <w:p w14:paraId="3BDB772B" w14:textId="2EF7DE26" w:rsidR="00367EC2" w:rsidRDefault="00156AA2" w:rsidP="00367EC2">
      <w:pPr>
        <w:keepNext/>
      </w:pPr>
      <w:r>
        <w:rPr>
          <w:noProof/>
        </w:rPr>
        <w:drawing>
          <wp:inline distT="0" distB="0" distL="0" distR="0" wp14:anchorId="76123191" wp14:editId="7F06AB7D">
            <wp:extent cx="5731510" cy="2692400"/>
            <wp:effectExtent l="0" t="0" r="0" b="0"/>
            <wp:docPr id="981368779" name="mean_days_of_heatw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368779" name="mean_days_of_heatwave.png"/>
                    <pic:cNvPicPr/>
                  </pic:nvPicPr>
                  <pic:blipFill>
                    <a:blip r:link="rId12"/>
                    <a:stretch>
                      <a:fillRect/>
                    </a:stretch>
                  </pic:blipFill>
                  <pic:spPr>
                    <a:xfrm>
                      <a:off x="0" y="0"/>
                      <a:ext cx="5731510" cy="2692400"/>
                    </a:xfrm>
                    <a:prstGeom prst="rect">
                      <a:avLst/>
                    </a:prstGeom>
                  </pic:spPr>
                </pic:pic>
              </a:graphicData>
            </a:graphic>
          </wp:inline>
        </w:drawing>
      </w:r>
    </w:p>
    <w:p w14:paraId="32B4B2A0" w14:textId="23F1732A" w:rsidR="00E21EC4" w:rsidRDefault="00367EC2" w:rsidP="000718CA">
      <w:pPr>
        <w:pStyle w:val="Caption"/>
      </w:pPr>
      <w:bookmarkStart w:id="4" w:name="_Ref194675242"/>
      <w:r>
        <w:t xml:space="preserve">Figure </w:t>
      </w:r>
      <w:r>
        <w:fldChar w:fldCharType="begin"/>
      </w:r>
      <w:r>
        <w:instrText xml:space="preserve"> SEQ Figure \* ARABIC </w:instrText>
      </w:r>
      <w:r>
        <w:fldChar w:fldCharType="separate"/>
      </w:r>
      <w:r w:rsidR="000718CA">
        <w:rPr>
          <w:noProof/>
        </w:rPr>
        <w:t>1</w:t>
      </w:r>
      <w:r>
        <w:fldChar w:fldCharType="end"/>
      </w:r>
      <w:bookmarkEnd w:id="4"/>
      <w:r>
        <w:t xml:space="preserve">: </w:t>
      </w:r>
      <w:r w:rsidR="0009711D">
        <w:t>Mean</w:t>
      </w:r>
      <w:r w:rsidR="0072485D" w:rsidRPr="0072485D">
        <w:t xml:space="preserve"> Annual Heatwave Days Experienced by Vulnerable Populations During Baseline (1991-2000) and Comparison (2015-2024) Periods</w:t>
      </w:r>
      <w:r w:rsidR="00043955">
        <w:t>.</w:t>
      </w:r>
    </w:p>
    <w:p w14:paraId="37C48985" w14:textId="13A59F7E" w:rsidR="007F0698" w:rsidRDefault="00D52473" w:rsidP="008F2EC3">
      <w:pPr>
        <w:rPr>
          <w:lang w:val="en-GB"/>
        </w:rPr>
      </w:pPr>
      <w:r>
        <w:rPr>
          <w:lang w:val="en-GB"/>
        </w:rPr>
        <w:fldChar w:fldCharType="begin"/>
      </w:r>
      <w:r>
        <w:rPr>
          <w:lang w:val="en-GB"/>
        </w:rPr>
        <w:instrText xml:space="preserve"> REF _Ref194675242 \h </w:instrText>
      </w:r>
      <w:r>
        <w:rPr>
          <w:lang w:val="en-GB"/>
        </w:rPr>
      </w:r>
      <w:r>
        <w:rPr>
          <w:lang w:val="en-GB"/>
        </w:rPr>
        <w:fldChar w:fldCharType="separate"/>
      </w:r>
      <w:r>
        <w:t xml:space="preserve">Figure </w:t>
      </w:r>
      <w:r>
        <w:rPr>
          <w:noProof/>
        </w:rPr>
        <w:t>1</w:t>
      </w:r>
      <w:r>
        <w:rPr>
          <w:lang w:val="en-GB"/>
        </w:rPr>
        <w:fldChar w:fldCharType="end"/>
      </w:r>
      <w:r w:rsidR="00EC6243">
        <w:rPr>
          <w:lang w:val="en-GB"/>
        </w:rPr>
        <w:t xml:space="preserve"> </w:t>
      </w:r>
      <w:r w:rsidR="008F2EC3" w:rsidRPr="008F2EC3">
        <w:rPr>
          <w:lang w:val="en-GB"/>
        </w:rPr>
        <w:t>aggregates data over a ten-year period,</w:t>
      </w:r>
      <w:r w:rsidR="00F22963">
        <w:rPr>
          <w:lang w:val="en-GB"/>
        </w:rPr>
        <w:t xml:space="preserve"> we present </w:t>
      </w:r>
      <w:r>
        <w:rPr>
          <w:lang w:val="en-GB"/>
        </w:rPr>
        <w:t>the</w:t>
      </w:r>
      <w:r w:rsidR="008F2EC3" w:rsidRPr="008F2EC3">
        <w:rPr>
          <w:lang w:val="en-GB"/>
        </w:rPr>
        <w:t xml:space="preserve"> heatwave exposure among vulnerable populations in 2024</w:t>
      </w:r>
      <w:r>
        <w:rPr>
          <w:lang w:val="en-GB"/>
        </w:rPr>
        <w:t xml:space="preserve"> in </w:t>
      </w:r>
      <w:r>
        <w:rPr>
          <w:lang w:val="en-GB"/>
        </w:rPr>
        <w:fldChar w:fldCharType="begin"/>
      </w:r>
      <w:r>
        <w:rPr>
          <w:lang w:val="en-GB"/>
        </w:rPr>
        <w:instrText xml:space="preserve"> REF _Ref194677998 \h </w:instrText>
      </w:r>
      <w:r>
        <w:rPr>
          <w:lang w:val="en-GB"/>
        </w:rPr>
      </w:r>
      <w:r>
        <w:rPr>
          <w:lang w:val="en-GB"/>
        </w:rPr>
        <w:fldChar w:fldCharType="separate"/>
      </w:r>
      <w:r>
        <w:t xml:space="preserve">Figure </w:t>
      </w:r>
      <w:r>
        <w:rPr>
          <w:noProof/>
        </w:rPr>
        <w:t>2</w:t>
      </w:r>
      <w:r>
        <w:rPr>
          <w:lang w:val="en-GB"/>
        </w:rPr>
        <w:fldChar w:fldCharType="end"/>
      </w:r>
      <w:r w:rsidR="008F2EC3" w:rsidRPr="008F2EC3">
        <w:rPr>
          <w:lang w:val="en-GB"/>
        </w:rPr>
        <w:t>. To enhance visual clarity, we adjusted the maximum threshold in the colour bar, as some NUTS regions experienced over 60 heatwave days—nearly double the mean value observed during the comparison perio</w:t>
      </w:r>
      <w:r w:rsidR="008F2EC3">
        <w:rPr>
          <w:lang w:val="en-GB"/>
        </w:rPr>
        <w:t>d.</w:t>
      </w:r>
    </w:p>
    <w:p w14:paraId="7D9578D4" w14:textId="4C80A694" w:rsidR="00C06360" w:rsidRDefault="00C06360" w:rsidP="008F2EC3">
      <w:r>
        <w:rPr>
          <w:noProof/>
        </w:rPr>
        <w:lastRenderedPageBreak/>
        <w:drawing>
          <wp:inline distT="0" distB="0" distL="0" distR="0" wp14:anchorId="7E83682F" wp14:editId="0816F6F2">
            <wp:extent cx="5588000" cy="3556000"/>
            <wp:effectExtent l="0" t="0" r="0" b="0"/>
            <wp:docPr id="1134824981" name="mean_days_of_heatwave_2024.png" descr="A map of europe with red shad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24981" name="mean_days_of_heatwave_2024.png" descr="A map of europe with red shades&#10;&#10;AI-generated content may be incorrect."/>
                    <pic:cNvPicPr/>
                  </pic:nvPicPr>
                  <pic:blipFill>
                    <a:blip r:link="rId13"/>
                    <a:stretch>
                      <a:fillRect/>
                    </a:stretch>
                  </pic:blipFill>
                  <pic:spPr>
                    <a:xfrm>
                      <a:off x="0" y="0"/>
                      <a:ext cx="5588000" cy="3556000"/>
                    </a:xfrm>
                    <a:prstGeom prst="rect">
                      <a:avLst/>
                    </a:prstGeom>
                  </pic:spPr>
                </pic:pic>
              </a:graphicData>
            </a:graphic>
          </wp:inline>
        </w:drawing>
      </w:r>
    </w:p>
    <w:p w14:paraId="1178572B" w14:textId="0ECD1E90" w:rsidR="00014568" w:rsidRDefault="007F0698" w:rsidP="000718CA">
      <w:pPr>
        <w:pStyle w:val="Caption"/>
      </w:pPr>
      <w:bookmarkStart w:id="5" w:name="_Ref194677998"/>
      <w:r>
        <w:t xml:space="preserve">Figure </w:t>
      </w:r>
      <w:r>
        <w:fldChar w:fldCharType="begin"/>
      </w:r>
      <w:r>
        <w:instrText xml:space="preserve"> SEQ Figure \* ARABIC </w:instrText>
      </w:r>
      <w:r>
        <w:fldChar w:fldCharType="separate"/>
      </w:r>
      <w:r w:rsidR="000718CA">
        <w:rPr>
          <w:noProof/>
        </w:rPr>
        <w:t>2</w:t>
      </w:r>
      <w:r>
        <w:fldChar w:fldCharType="end"/>
      </w:r>
      <w:bookmarkEnd w:id="5"/>
      <w:r>
        <w:t xml:space="preserve">: </w:t>
      </w:r>
      <w:r w:rsidR="004F089F">
        <w:t xml:space="preserve">Heatwave Day Exposure Among Vulnerable Populations in 2024. Note: This visualization employs a modified </w:t>
      </w:r>
      <w:proofErr w:type="spellStart"/>
      <w:r w:rsidR="004F089F">
        <w:t>color</w:t>
      </w:r>
      <w:proofErr w:type="spellEnd"/>
      <w:r w:rsidR="004F089F">
        <w:t xml:space="preserve"> scale</w:t>
      </w:r>
      <w:r w:rsidR="00263426">
        <w:t xml:space="preserve"> (increased max value)</w:t>
      </w:r>
      <w:r w:rsidR="004F089F">
        <w:t xml:space="preserve"> compared to previous figures to enhance visual interpretation</w:t>
      </w:r>
      <w:r w:rsidR="00014568">
        <w:t>.</w:t>
      </w:r>
    </w:p>
    <w:p w14:paraId="79068B1C" w14:textId="37D9AC8B" w:rsidR="008F2EC3" w:rsidRPr="008F2EC3" w:rsidRDefault="003C0B98" w:rsidP="008F2EC3">
      <w:pPr>
        <w:rPr>
          <w:lang w:val="en-GB"/>
        </w:rPr>
      </w:pPr>
      <w:r>
        <w:rPr>
          <w:lang w:val="en-GB"/>
        </w:rPr>
        <w:fldChar w:fldCharType="begin"/>
      </w:r>
      <w:r>
        <w:rPr>
          <w:lang w:val="en-GB"/>
        </w:rPr>
        <w:instrText xml:space="preserve"> REF _Ref194678255 \h </w:instrText>
      </w:r>
      <w:r>
        <w:rPr>
          <w:lang w:val="en-GB"/>
        </w:rPr>
      </w:r>
      <w:r>
        <w:rPr>
          <w:lang w:val="en-GB"/>
        </w:rPr>
        <w:fldChar w:fldCharType="separate"/>
      </w:r>
      <w:r>
        <w:t xml:space="preserve">Figure </w:t>
      </w:r>
      <w:r>
        <w:rPr>
          <w:noProof/>
        </w:rPr>
        <w:t>3</w:t>
      </w:r>
      <w:r>
        <w:rPr>
          <w:lang w:val="en-GB"/>
        </w:rPr>
        <w:fldChar w:fldCharType="end"/>
      </w:r>
      <w:r>
        <w:rPr>
          <w:lang w:val="en-GB"/>
        </w:rPr>
        <w:t xml:space="preserve"> </w:t>
      </w:r>
      <w:r w:rsidR="00601ECB" w:rsidRPr="00601ECB">
        <w:rPr>
          <w:lang w:val="en-GB"/>
        </w:rPr>
        <w:t xml:space="preserve">depicts the change in heatwave exposure, measured in </w:t>
      </w:r>
      <w:r w:rsidR="00315ED6">
        <w:rPr>
          <w:lang w:val="en-GB"/>
        </w:rPr>
        <w:t xml:space="preserve">excess </w:t>
      </w:r>
      <w:r w:rsidR="00601ECB" w:rsidRPr="00601ECB">
        <w:rPr>
          <w:lang w:val="en-GB"/>
        </w:rPr>
        <w:t xml:space="preserve">person-days, for </w:t>
      </w:r>
      <w:r w:rsidR="00315ED6">
        <w:rPr>
          <w:lang w:val="en-GB"/>
        </w:rPr>
        <w:t>both</w:t>
      </w:r>
      <w:r w:rsidR="00601ECB" w:rsidRPr="00601ECB">
        <w:rPr>
          <w:lang w:val="en-GB"/>
        </w:rPr>
        <w:t xml:space="preserve"> vulnerable groups. Over the past three years, older adults have experienced an annual increase of more than 1.4 billion person-days compared to the baseline period (1991–2000</w:t>
      </w:r>
      <w:r w:rsidR="00DE436C">
        <w:rPr>
          <w:lang w:val="en-GB"/>
        </w:rPr>
        <w:t xml:space="preserve">) - </w:t>
      </w:r>
      <w:r w:rsidR="00DE436C" w:rsidRPr="00DE436C">
        <w:rPr>
          <w:lang w:val="en-GB"/>
        </w:rPr>
        <w:t>surpassing the values recorded in all previous years since 2000. The corresponding annual totals of heatwave person-days are shown in</w:t>
      </w:r>
      <w:r w:rsidR="00B20CDA">
        <w:rPr>
          <w:lang w:val="en-GB"/>
        </w:rPr>
        <w:t xml:space="preserve"> </w:t>
      </w:r>
      <w:r w:rsidR="00B20CDA">
        <w:rPr>
          <w:lang w:val="en-GB"/>
        </w:rPr>
        <w:fldChar w:fldCharType="begin"/>
      </w:r>
      <w:r w:rsidR="00B20CDA">
        <w:rPr>
          <w:lang w:val="en-GB"/>
        </w:rPr>
        <w:instrText xml:space="preserve"> REF _Ref194679538 \h </w:instrText>
      </w:r>
      <w:r w:rsidR="00B20CDA">
        <w:rPr>
          <w:lang w:val="en-GB"/>
        </w:rPr>
      </w:r>
      <w:r w:rsidR="00B20CDA">
        <w:rPr>
          <w:lang w:val="en-GB"/>
        </w:rPr>
        <w:fldChar w:fldCharType="separate"/>
      </w:r>
      <w:r w:rsidR="00B20CDA">
        <w:t xml:space="preserve">Figure </w:t>
      </w:r>
      <w:r w:rsidR="00B20CDA">
        <w:rPr>
          <w:noProof/>
        </w:rPr>
        <w:t>4</w:t>
      </w:r>
      <w:r w:rsidR="00B20CDA">
        <w:rPr>
          <w:lang w:val="en-GB"/>
        </w:rPr>
        <w:fldChar w:fldCharType="end"/>
      </w:r>
      <w:r w:rsidR="00B20CDA">
        <w:rPr>
          <w:lang w:val="en-GB"/>
        </w:rPr>
        <w:t>.</w:t>
      </w:r>
      <w:r w:rsidR="00626888">
        <w:rPr>
          <w:lang w:val="en-GB"/>
        </w:rPr>
        <w:t xml:space="preserve"> </w:t>
      </w:r>
    </w:p>
    <w:p w14:paraId="169C9EB7" w14:textId="62CDEFE0" w:rsidR="00D43F4B" w:rsidRDefault="00E23F4C" w:rsidP="000718CA">
      <w:pPr>
        <w:pStyle w:val="Caption"/>
      </w:pPr>
      <w:r>
        <w:rPr>
          <w:noProof/>
        </w:rPr>
        <w:drawing>
          <wp:inline distT="0" distB="0" distL="0" distR="0" wp14:anchorId="7416CD93" wp14:editId="1D323154">
            <wp:extent cx="5731510" cy="3208020"/>
            <wp:effectExtent l="0" t="0" r="0" b="5080"/>
            <wp:docPr id="2075434737" name="total exposure to change.png" descr="A graph of numbers and a number of ye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434737" name="total exposure to change.png" descr="A graph of numbers and a number of years&#10;&#10;AI-generated content may be incorrect."/>
                    <pic:cNvPicPr/>
                  </pic:nvPicPr>
                  <pic:blipFill>
                    <a:blip r:link="rId14"/>
                    <a:stretch>
                      <a:fillRect/>
                    </a:stretch>
                  </pic:blipFill>
                  <pic:spPr>
                    <a:xfrm>
                      <a:off x="0" y="0"/>
                      <a:ext cx="5731510" cy="3208020"/>
                    </a:xfrm>
                    <a:prstGeom prst="rect">
                      <a:avLst/>
                    </a:prstGeom>
                  </pic:spPr>
                </pic:pic>
              </a:graphicData>
            </a:graphic>
          </wp:inline>
        </w:drawing>
      </w:r>
    </w:p>
    <w:p w14:paraId="6069FD7E" w14:textId="4605F24F" w:rsidR="000D0FFB" w:rsidRDefault="00D43F4B" w:rsidP="000718CA">
      <w:pPr>
        <w:pStyle w:val="Caption"/>
      </w:pPr>
      <w:bookmarkStart w:id="6" w:name="_Ref194678255"/>
      <w:r>
        <w:t xml:space="preserve">Figure </w:t>
      </w:r>
      <w:r>
        <w:fldChar w:fldCharType="begin"/>
      </w:r>
      <w:r>
        <w:instrText xml:space="preserve"> SEQ Figure \* ARABIC </w:instrText>
      </w:r>
      <w:r>
        <w:fldChar w:fldCharType="separate"/>
      </w:r>
      <w:r w:rsidR="000718CA">
        <w:rPr>
          <w:noProof/>
        </w:rPr>
        <w:t>3</w:t>
      </w:r>
      <w:r>
        <w:fldChar w:fldCharType="end"/>
      </w:r>
      <w:bookmarkEnd w:id="6"/>
      <w:r w:rsidR="00E827B8">
        <w:t xml:space="preserve">: </w:t>
      </w:r>
      <w:r w:rsidR="00FB7DE7">
        <w:t xml:space="preserve">Excess </w:t>
      </w:r>
      <w:r w:rsidR="00E827B8" w:rsidRPr="00D1082E">
        <w:t>Heatwaves</w:t>
      </w:r>
      <w:r w:rsidR="00E827B8">
        <w:t xml:space="preserve"> Person-Days</w:t>
      </w:r>
      <w:r w:rsidR="00E827B8" w:rsidRPr="00D1082E">
        <w:t xml:space="preserve"> (Relative To </w:t>
      </w:r>
      <w:r w:rsidR="00E827B8">
        <w:t>1991-2000</w:t>
      </w:r>
      <w:r w:rsidR="00E827B8" w:rsidRPr="00D1082E">
        <w:t xml:space="preserve"> Baseline) </w:t>
      </w:r>
      <w:r w:rsidR="001C0EE6">
        <w:t>for</w:t>
      </w:r>
      <w:r w:rsidR="00E827B8" w:rsidRPr="00D1082E">
        <w:t xml:space="preserve"> Infants and </w:t>
      </w:r>
      <w:r w:rsidR="00E827B8">
        <w:t>Over 65</w:t>
      </w:r>
      <w:r w:rsidR="00E827B8" w:rsidRPr="00D1082E">
        <w:t>.</w:t>
      </w:r>
    </w:p>
    <w:p w14:paraId="4F6EC8CB" w14:textId="77777777" w:rsidR="00E827B8" w:rsidRDefault="00211234" w:rsidP="00E827B8">
      <w:pPr>
        <w:keepNext/>
      </w:pPr>
      <w:r>
        <w:rPr>
          <w:noProof/>
          <w:lang w:val="en-GB"/>
        </w:rPr>
        <w:lastRenderedPageBreak/>
        <w:drawing>
          <wp:inline distT="0" distB="0" distL="0" distR="0" wp14:anchorId="0277BE9D" wp14:editId="3174B6AC">
            <wp:extent cx="5731510" cy="3208020"/>
            <wp:effectExtent l="0" t="0" r="0" b="5080"/>
            <wp:docPr id="401817697" name="Picture 4" descr="A graph of growth in ye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17697" name="Picture 4" descr="A graph of growth in years&#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208020"/>
                    </a:xfrm>
                    <a:prstGeom prst="rect">
                      <a:avLst/>
                    </a:prstGeom>
                  </pic:spPr>
                </pic:pic>
              </a:graphicData>
            </a:graphic>
          </wp:inline>
        </w:drawing>
      </w:r>
    </w:p>
    <w:p w14:paraId="35862CB5" w14:textId="47C35BCD" w:rsidR="00B67118" w:rsidRDefault="00E827B8" w:rsidP="000718CA">
      <w:pPr>
        <w:pStyle w:val="Caption"/>
      </w:pPr>
      <w:bookmarkStart w:id="7" w:name="_Ref194679538"/>
      <w:r>
        <w:t xml:space="preserve">Figure </w:t>
      </w:r>
      <w:r>
        <w:fldChar w:fldCharType="begin"/>
      </w:r>
      <w:r>
        <w:instrText xml:space="preserve"> SEQ Figure \* ARABIC </w:instrText>
      </w:r>
      <w:r>
        <w:fldChar w:fldCharType="separate"/>
      </w:r>
      <w:r w:rsidR="000718CA">
        <w:rPr>
          <w:noProof/>
        </w:rPr>
        <w:t>4</w:t>
      </w:r>
      <w:r>
        <w:fldChar w:fldCharType="end"/>
      </w:r>
      <w:bookmarkEnd w:id="7"/>
      <w:r>
        <w:t xml:space="preserve">: Total </w:t>
      </w:r>
      <w:r w:rsidRPr="00E827B8">
        <w:t xml:space="preserve">Heatwaves Person-Days (Relative To 1991-2000 Baseline) </w:t>
      </w:r>
      <w:r w:rsidR="001C0EE6">
        <w:t>for</w:t>
      </w:r>
      <w:r w:rsidRPr="00E827B8">
        <w:t xml:space="preserve"> Infants </w:t>
      </w:r>
      <w:r>
        <w:t>and</w:t>
      </w:r>
      <w:r w:rsidRPr="00E827B8">
        <w:t xml:space="preserve"> Over 65.</w:t>
      </w:r>
    </w:p>
    <w:p w14:paraId="1432C208" w14:textId="1685D425" w:rsidR="00F3025D" w:rsidRPr="00F3025D" w:rsidRDefault="00917DBF" w:rsidP="00F3025D">
      <w:pPr>
        <w:rPr>
          <w:lang w:val="en-GB"/>
        </w:rPr>
      </w:pPr>
      <w:r>
        <w:rPr>
          <w:lang w:val="en-GB"/>
        </w:rPr>
        <w:t xml:space="preserve">We normalised the data </w:t>
      </w:r>
      <w:r w:rsidR="00517EA8">
        <w:rPr>
          <w:lang w:val="en-GB"/>
        </w:rPr>
        <w:t>in</w:t>
      </w:r>
      <w:r>
        <w:rPr>
          <w:lang w:val="en-GB"/>
        </w:rPr>
        <w:t xml:space="preserve"> </w:t>
      </w:r>
      <w:r>
        <w:rPr>
          <w:lang w:val="en-GB"/>
        </w:rPr>
        <w:fldChar w:fldCharType="begin"/>
      </w:r>
      <w:r>
        <w:rPr>
          <w:lang w:val="en-GB"/>
        </w:rPr>
        <w:instrText xml:space="preserve"> REF _Ref194679538 \h </w:instrText>
      </w:r>
      <w:r>
        <w:rPr>
          <w:lang w:val="en-GB"/>
        </w:rPr>
      </w:r>
      <w:r>
        <w:rPr>
          <w:lang w:val="en-GB"/>
        </w:rPr>
        <w:fldChar w:fldCharType="separate"/>
      </w:r>
      <w:r>
        <w:t xml:space="preserve">Figure </w:t>
      </w:r>
      <w:r>
        <w:rPr>
          <w:noProof/>
        </w:rPr>
        <w:t>4</w:t>
      </w:r>
      <w:r>
        <w:rPr>
          <w:lang w:val="en-GB"/>
        </w:rPr>
        <w:fldChar w:fldCharType="end"/>
      </w:r>
      <w:r>
        <w:rPr>
          <w:lang w:val="en-GB"/>
        </w:rPr>
        <w:t xml:space="preserve"> </w:t>
      </w:r>
      <w:r w:rsidR="009D6C28" w:rsidRPr="009D6C28">
        <w:rPr>
          <w:lang w:val="en-GB"/>
        </w:rPr>
        <w:t>by dividing exposure by the total population and present the results in</w:t>
      </w:r>
      <w:r>
        <w:rPr>
          <w:lang w:val="en-GB"/>
        </w:rPr>
        <w:t xml:space="preserve"> </w:t>
      </w:r>
      <w:r w:rsidR="002475CC">
        <w:rPr>
          <w:lang w:val="en-GB"/>
        </w:rPr>
        <w:fldChar w:fldCharType="begin"/>
      </w:r>
      <w:r w:rsidR="002475CC">
        <w:rPr>
          <w:lang w:val="en-GB"/>
        </w:rPr>
        <w:instrText xml:space="preserve"> REF _Ref194680319 \h </w:instrText>
      </w:r>
      <w:r w:rsidR="002475CC">
        <w:rPr>
          <w:lang w:val="en-GB"/>
        </w:rPr>
      </w:r>
      <w:r w:rsidR="002475CC">
        <w:rPr>
          <w:lang w:val="en-GB"/>
        </w:rPr>
        <w:fldChar w:fldCharType="separate"/>
      </w:r>
      <w:r w:rsidR="002475CC">
        <w:t xml:space="preserve">Figure </w:t>
      </w:r>
      <w:r w:rsidR="002475CC">
        <w:rPr>
          <w:noProof/>
        </w:rPr>
        <w:t>5</w:t>
      </w:r>
      <w:r w:rsidR="002475CC">
        <w:rPr>
          <w:lang w:val="en-GB"/>
        </w:rPr>
        <w:fldChar w:fldCharType="end"/>
      </w:r>
      <w:r w:rsidR="002475CC">
        <w:rPr>
          <w:lang w:val="en-GB"/>
        </w:rPr>
        <w:t xml:space="preserve">. </w:t>
      </w:r>
      <w:r w:rsidR="009D6C28" w:rsidRPr="009D6C28">
        <w:rPr>
          <w:lang w:val="en-GB"/>
        </w:rPr>
        <w:t xml:space="preserve">This figure reveals that both older adults and infants were exposed to more than twice the number of heatwave days compared to the European average. </w:t>
      </w:r>
      <w:r w:rsidR="006A6024">
        <w:rPr>
          <w:lang w:val="en-GB"/>
        </w:rPr>
        <w:t>Hence, t</w:t>
      </w:r>
      <w:r w:rsidR="009D6C28" w:rsidRPr="009D6C28">
        <w:rPr>
          <w:lang w:val="en-GB"/>
        </w:rPr>
        <w:t>hese groups are not only more physiologically vulnerable but also experienced disproportionately higher exposure. Notably, in 2024, older adults experienced more than 20 heatwave days per year for the first time on record.</w:t>
      </w:r>
      <w:r w:rsidR="00D2369F">
        <w:rPr>
          <w:lang w:val="en-GB"/>
        </w:rPr>
        <w:t xml:space="preserve"> </w:t>
      </w:r>
    </w:p>
    <w:p w14:paraId="6A0054BF" w14:textId="77777777" w:rsidR="002B3E85" w:rsidRDefault="00596191" w:rsidP="002B3E85">
      <w:pPr>
        <w:keepNext/>
      </w:pPr>
      <w:r>
        <w:rPr>
          <w:noProof/>
          <w:lang w:val="en-GB"/>
        </w:rPr>
        <w:drawing>
          <wp:inline distT="0" distB="0" distL="0" distR="0" wp14:anchorId="06BC9905" wp14:editId="1050BAE3">
            <wp:extent cx="5731510" cy="3258820"/>
            <wp:effectExtent l="0" t="0" r="0" b="5080"/>
            <wp:docPr id="1349099259" name="average_exposure_overall.png"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099259" name="average_exposure_overall.png" descr="A graph with different colored lines&#10;&#10;AI-generated content may be incorrect."/>
                    <pic:cNvPicPr/>
                  </pic:nvPicPr>
                  <pic:blipFill>
                    <a:blip r:link="rId16"/>
                    <a:stretch>
                      <a:fillRect/>
                    </a:stretch>
                  </pic:blipFill>
                  <pic:spPr>
                    <a:xfrm>
                      <a:off x="0" y="0"/>
                      <a:ext cx="5731510" cy="3258820"/>
                    </a:xfrm>
                    <a:prstGeom prst="rect">
                      <a:avLst/>
                    </a:prstGeom>
                  </pic:spPr>
                </pic:pic>
              </a:graphicData>
            </a:graphic>
          </wp:inline>
        </w:drawing>
      </w:r>
    </w:p>
    <w:p w14:paraId="7F606CEE" w14:textId="0F647D7E" w:rsidR="00C47A43" w:rsidRDefault="002B3E85" w:rsidP="000718CA">
      <w:pPr>
        <w:pStyle w:val="Caption"/>
      </w:pPr>
      <w:bookmarkStart w:id="8" w:name="_Ref194680319"/>
      <w:r>
        <w:t xml:space="preserve">Figure </w:t>
      </w:r>
      <w:r>
        <w:fldChar w:fldCharType="begin"/>
      </w:r>
      <w:r>
        <w:instrText xml:space="preserve"> SEQ Figure \* ARABIC </w:instrText>
      </w:r>
      <w:r>
        <w:fldChar w:fldCharType="separate"/>
      </w:r>
      <w:r w:rsidR="000718CA">
        <w:rPr>
          <w:noProof/>
        </w:rPr>
        <w:t>5</w:t>
      </w:r>
      <w:r>
        <w:fldChar w:fldCharType="end"/>
      </w:r>
      <w:bookmarkEnd w:id="8"/>
      <w:r w:rsidR="00547AA6">
        <w:t xml:space="preserve">: </w:t>
      </w:r>
      <w:r>
        <w:t xml:space="preserve">Mean </w:t>
      </w:r>
      <w:r w:rsidR="00547AA6">
        <w:t>Heatwave Days Per Person.</w:t>
      </w:r>
    </w:p>
    <w:p w14:paraId="5C16115C" w14:textId="377828F5" w:rsidR="000718CA" w:rsidRPr="000718CA" w:rsidRDefault="00FD09FD" w:rsidP="000718CA">
      <w:pPr>
        <w:rPr>
          <w:highlight w:val="yellow"/>
          <w:lang w:val="en-GB"/>
        </w:rPr>
      </w:pPr>
      <w:r>
        <w:rPr>
          <w:lang w:val="en-GB"/>
        </w:rPr>
        <w:fldChar w:fldCharType="begin"/>
      </w:r>
      <w:r>
        <w:rPr>
          <w:lang w:val="en-GB"/>
        </w:rPr>
        <w:instrText xml:space="preserve"> REF _Ref194680319 \h </w:instrText>
      </w:r>
      <w:r>
        <w:rPr>
          <w:lang w:val="en-GB"/>
        </w:rPr>
      </w:r>
      <w:r>
        <w:rPr>
          <w:lang w:val="en-GB"/>
        </w:rPr>
        <w:fldChar w:fldCharType="separate"/>
      </w:r>
      <w:r>
        <w:t xml:space="preserve">Figure </w:t>
      </w:r>
      <w:r>
        <w:rPr>
          <w:noProof/>
        </w:rPr>
        <w:t>5</w:t>
      </w:r>
      <w:r>
        <w:rPr>
          <w:lang w:val="en-GB"/>
        </w:rPr>
        <w:fldChar w:fldCharType="end"/>
      </w:r>
      <w:r w:rsidR="006A6024" w:rsidRPr="006A6024">
        <w:rPr>
          <w:lang w:val="en-GB"/>
        </w:rPr>
        <w:t>, however, does not show the geographical distribution of heatwaves exposure across different regions. We, therefore, decided to plot the mean heatwaves days per year in Figure 6.</w:t>
      </w:r>
      <w:r w:rsidR="004D7DCA">
        <w:rPr>
          <w:lang w:val="en-GB"/>
        </w:rPr>
        <w:t xml:space="preserve"> </w:t>
      </w:r>
      <w:r w:rsidR="000718CA" w:rsidRPr="000718CA">
        <w:rPr>
          <w:lang w:val="en-GB"/>
        </w:rPr>
        <w:t xml:space="preserve">Eastern and Southern Europe, and Western Asia were the most affected regions where vulnerable groups where exposed to more than 15 days of </w:t>
      </w:r>
      <w:r w:rsidR="000718CA" w:rsidRPr="000718CA">
        <w:rPr>
          <w:lang w:val="en-GB"/>
        </w:rPr>
        <w:lastRenderedPageBreak/>
        <w:t>heatwave per year since 2021. In 2024, older adults in Eastern Europe for the first time since 2000 experienced 34.5 days of heatwaves.</w:t>
      </w:r>
    </w:p>
    <w:p w14:paraId="44FAD039" w14:textId="77777777" w:rsidR="000718CA" w:rsidRDefault="00CF20D7" w:rsidP="000718CA">
      <w:pPr>
        <w:keepNext/>
      </w:pPr>
      <w:r>
        <w:rPr>
          <w:noProof/>
          <w:lang w:val="en-GB"/>
        </w:rPr>
        <w:drawing>
          <wp:inline distT="0" distB="0" distL="0" distR="0" wp14:anchorId="7DFDD19D" wp14:editId="182A2327">
            <wp:extent cx="5731510" cy="4053205"/>
            <wp:effectExtent l="0" t="0" r="0" b="0"/>
            <wp:docPr id="15019888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988813" name="Picture 1501988813"/>
                    <pic:cNvPicPr/>
                  </pic:nvPicPr>
                  <pic:blipFill>
                    <a:blip r:embed="rId17"/>
                    <a:stretch>
                      <a:fillRect/>
                    </a:stretch>
                  </pic:blipFill>
                  <pic:spPr>
                    <a:xfrm>
                      <a:off x="0" y="0"/>
                      <a:ext cx="5731510" cy="4053205"/>
                    </a:xfrm>
                    <a:prstGeom prst="rect">
                      <a:avLst/>
                    </a:prstGeom>
                  </pic:spPr>
                </pic:pic>
              </a:graphicData>
            </a:graphic>
          </wp:inline>
        </w:drawing>
      </w:r>
    </w:p>
    <w:p w14:paraId="09D0CBB9" w14:textId="27AD0305" w:rsidR="00DF74DE" w:rsidRDefault="000718CA" w:rsidP="000718CA">
      <w:pPr>
        <w:pStyle w:val="Caption"/>
        <w:rPr>
          <w:highlight w:val="yellow"/>
        </w:rPr>
      </w:pPr>
      <w:bookmarkStart w:id="9" w:name="_Ref194681468"/>
      <w:r>
        <w:t xml:space="preserve">Figure </w:t>
      </w:r>
      <w:r>
        <w:fldChar w:fldCharType="begin"/>
      </w:r>
      <w:r>
        <w:instrText xml:space="preserve"> SEQ Figure \* ARABIC </w:instrText>
      </w:r>
      <w:r>
        <w:fldChar w:fldCharType="separate"/>
      </w:r>
      <w:r>
        <w:rPr>
          <w:noProof/>
        </w:rPr>
        <w:t>6</w:t>
      </w:r>
      <w:r>
        <w:fldChar w:fldCharType="end"/>
      </w:r>
      <w:bookmarkEnd w:id="9"/>
      <w:r>
        <w:t>: Mean Heatwaves Days per Person per Region</w:t>
      </w:r>
    </w:p>
    <w:p w14:paraId="0D081A68" w14:textId="1DBF07A8" w:rsidR="005E700C" w:rsidRDefault="005E700C" w:rsidP="00C47A43">
      <w:pPr>
        <w:rPr>
          <w:highlight w:val="yellow"/>
          <w:lang w:val="en-GB"/>
        </w:rPr>
      </w:pPr>
    </w:p>
    <w:p w14:paraId="13E65CE8" w14:textId="19CA1F7E" w:rsidR="002D06FB" w:rsidRPr="00C47A43" w:rsidRDefault="002D06FB" w:rsidP="00C47A43">
      <w:pPr>
        <w:rPr>
          <w:highlight w:val="yellow"/>
          <w:lang w:val="en-GB"/>
        </w:rPr>
      </w:pPr>
    </w:p>
    <w:sectPr w:rsidR="002D06FB" w:rsidRPr="00C47A43">
      <w:headerReference w:type="even" r:id="rId18"/>
      <w:headerReference w:type="default" r:id="rId19"/>
      <w:footerReference w:type="default" r:id="rId20"/>
      <w:headerReference w:type="first" r:id="rId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Federico Tartarini" w:date="2025-04-04T17:57:00Z" w:initials="f">
    <w:p w14:paraId="56100935" w14:textId="77777777" w:rsidR="00513DE8" w:rsidRDefault="00513DE8" w:rsidP="00513DE8">
      <w:r>
        <w:rPr>
          <w:rStyle w:val="CommentReference"/>
        </w:rPr>
        <w:annotationRef/>
      </w:r>
      <w:r>
        <w:rPr>
          <w:szCs w:val="20"/>
        </w:rPr>
        <w:t>de Perez EC, van Aalst M, Bischiniotis K, et al. Global predictability of temperature extremes. Environ Res Lett 2018; 13: 054017.</w:t>
      </w:r>
    </w:p>
    <w:p w14:paraId="1FDB1D8E" w14:textId="77777777" w:rsidR="00513DE8" w:rsidRDefault="00513DE8" w:rsidP="00513DE8"/>
  </w:comment>
  <w:comment w:id="3" w:author="Federico Tartarini" w:date="2025-04-04T17:56:00Z" w:initials="f">
    <w:p w14:paraId="722AC6C4" w14:textId="26F98608" w:rsidR="00363705" w:rsidRDefault="00363705" w:rsidP="00363705">
      <w:r>
        <w:rPr>
          <w:rStyle w:val="CommentReference"/>
        </w:rPr>
        <w:annotationRef/>
      </w:r>
      <w:r>
        <w:rPr>
          <w:szCs w:val="20"/>
        </w:rPr>
        <w:t>Ebi KL, Capon A, Berry P, Broderick C, de Dear R, Havenith G, Honda Y, Kovats RS, Ma W, Malik A, Morris NB, Nybo L, Seneviratne SI, Vanos J, Jay O. Hot weather and heat extremes: health risks. Lancet. 2021 Aug 21;398(10301):698-708. doi: 10.1016/S0140-6736(21)01208-3. PMID: 34419205.</w:t>
      </w:r>
      <w:r>
        <w:rPr>
          <w:szCs w:val="20"/>
        </w:rPr>
        <w:c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FDB1D8E" w15:done="0"/>
  <w15:commentEx w15:paraId="722AC6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77D8F7E" w16cex:dateUtc="2025-04-04T06:57:00Z"/>
  <w16cex:commentExtensible w16cex:durableId="5E97F2A4" w16cex:dateUtc="2025-04-04T06: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FDB1D8E" w16cid:durableId="577D8F7E"/>
  <w16cid:commentId w16cid:paraId="722AC6C4" w16cid:durableId="5E97F2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9CB6D1" w14:textId="77777777" w:rsidR="00E9087C" w:rsidRDefault="00E9087C" w:rsidP="005F0B53">
      <w:pPr>
        <w:spacing w:after="0" w:line="240" w:lineRule="auto"/>
      </w:pPr>
      <w:r>
        <w:separator/>
      </w:r>
    </w:p>
  </w:endnote>
  <w:endnote w:type="continuationSeparator" w:id="0">
    <w:p w14:paraId="51601423" w14:textId="77777777" w:rsidR="00E9087C" w:rsidRDefault="00E9087C" w:rsidP="005F0B53">
      <w:pPr>
        <w:spacing w:after="0" w:line="240" w:lineRule="auto"/>
      </w:pPr>
      <w:r>
        <w:continuationSeparator/>
      </w:r>
    </w:p>
  </w:endnote>
  <w:endnote w:type="continuationNotice" w:id="1">
    <w:p w14:paraId="60307CFB" w14:textId="77777777" w:rsidR="00E9087C" w:rsidRDefault="00E908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haker 2 Lancet Regular">
    <w:altName w:val="Cambria"/>
    <w:panose1 w:val="020B0604020202020204"/>
    <w:charset w:val="00"/>
    <w:family w:val="auto"/>
    <w:pitch w:val="default"/>
  </w:font>
  <w:font w:name="ScalaLancetPro">
    <w:altName w:val="Hiragino Mincho ProN W3"/>
    <w:panose1 w:val="020B0604020202020204"/>
    <w:charset w:val="00"/>
    <w:family w:val="roman"/>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308362"/>
      <w:docPartObj>
        <w:docPartGallery w:val="Page Numbers (Bottom of Page)"/>
        <w:docPartUnique/>
      </w:docPartObj>
    </w:sdtPr>
    <w:sdtEndPr>
      <w:rPr>
        <w:noProof/>
      </w:rPr>
    </w:sdtEndPr>
    <w:sdtContent>
      <w:p w14:paraId="713BBA89" w14:textId="325448A9" w:rsidR="00D83202" w:rsidRDefault="00D8320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B7008E" w14:textId="77777777" w:rsidR="00D83202" w:rsidRDefault="00D832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2E4AC3" w14:textId="77777777" w:rsidR="00E9087C" w:rsidRDefault="00E9087C" w:rsidP="005F0B53">
      <w:pPr>
        <w:spacing w:after="0" w:line="240" w:lineRule="auto"/>
      </w:pPr>
      <w:r>
        <w:separator/>
      </w:r>
    </w:p>
  </w:footnote>
  <w:footnote w:type="continuationSeparator" w:id="0">
    <w:p w14:paraId="5C8E9A78" w14:textId="77777777" w:rsidR="00E9087C" w:rsidRDefault="00E9087C" w:rsidP="005F0B53">
      <w:pPr>
        <w:spacing w:after="0" w:line="240" w:lineRule="auto"/>
      </w:pPr>
      <w:r>
        <w:continuationSeparator/>
      </w:r>
    </w:p>
  </w:footnote>
  <w:footnote w:type="continuationNotice" w:id="1">
    <w:p w14:paraId="6607576C" w14:textId="77777777" w:rsidR="00E9087C" w:rsidRDefault="00E908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06E44" w14:textId="65F1F048" w:rsidR="000B30AB" w:rsidRDefault="000B30AB">
    <w:pPr>
      <w:pStyle w:val="Header"/>
    </w:pPr>
    <w:r>
      <w:rPr>
        <w:noProof/>
      </w:rPr>
      <mc:AlternateContent>
        <mc:Choice Requires="wps">
          <w:drawing>
            <wp:anchor distT="0" distB="0" distL="0" distR="0" simplePos="0" relativeHeight="251658241" behindDoc="0" locked="0" layoutInCell="1" allowOverlap="1" wp14:anchorId="0D9BF857" wp14:editId="4877EB68">
              <wp:simplePos x="635" y="635"/>
              <wp:positionH relativeFrom="page">
                <wp:align>right</wp:align>
              </wp:positionH>
              <wp:positionV relativeFrom="page">
                <wp:align>top</wp:align>
              </wp:positionV>
              <wp:extent cx="1015365" cy="324485"/>
              <wp:effectExtent l="0" t="0" r="0" b="5715"/>
              <wp:wrapNone/>
              <wp:docPr id="637856292" name="Textruta 2" descr="Begränsad deln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15365" cy="324485"/>
                      </a:xfrm>
                      <a:prstGeom prst="rect">
                        <a:avLst/>
                      </a:prstGeom>
                      <a:noFill/>
                      <a:ln>
                        <a:noFill/>
                      </a:ln>
                    </wps:spPr>
                    <wps:txbx>
                      <w:txbxContent>
                        <w:p w14:paraId="469889EC" w14:textId="64F000D8" w:rsidR="000B30AB" w:rsidRPr="000B30AB" w:rsidRDefault="000B30AB" w:rsidP="000B30AB">
                          <w:pPr>
                            <w:spacing w:after="0"/>
                            <w:rPr>
                              <w:rFonts w:ascii="Calibri" w:eastAsia="Calibri" w:hAnsi="Calibri" w:cs="Calibri"/>
                              <w:noProof/>
                              <w:color w:val="000000"/>
                              <w:sz w:val="16"/>
                              <w:szCs w:val="16"/>
                            </w:rPr>
                          </w:pPr>
                          <w:r w:rsidRPr="000B30AB">
                            <w:rPr>
                              <w:rFonts w:ascii="Calibri" w:eastAsia="Calibri" w:hAnsi="Calibri" w:cs="Calibri"/>
                              <w:noProof/>
                              <w:color w:val="000000"/>
                              <w:sz w:val="16"/>
                              <w:szCs w:val="16"/>
                            </w:rPr>
                            <w:t>Begränsad delning</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0D9BF857" id="_x0000_t202" coordsize="21600,21600" o:spt="202" path="m,l,21600r21600,l21600,xe">
              <v:stroke joinstyle="miter"/>
              <v:path gradientshapeok="t" o:connecttype="rect"/>
            </v:shapetype>
            <v:shape id="Textruta 2" o:spid="_x0000_s1026" type="#_x0000_t202" alt="Begränsad delning" style="position:absolute;margin-left:28.75pt;margin-top:0;width:79.95pt;height:25.55pt;z-index:251658241;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" filled="f" stroked="f">
              <v:textbox style="mso-fit-shape-to-text:t" inset="0,15pt,20pt,0">
                <w:txbxContent>
                  <w:p w14:paraId="469889EC" w14:textId="64F000D8" w:rsidR="000B30AB" w:rsidRPr="000B30AB" w:rsidRDefault="000B30AB" w:rsidP="000B30AB">
                    <w:pPr>
                      <w:spacing w:after="0"/>
                      <w:rPr>
                        <w:rFonts w:ascii="Calibri" w:eastAsia="Calibri" w:hAnsi="Calibri" w:cs="Calibri"/>
                        <w:noProof/>
                        <w:color w:val="000000"/>
                        <w:sz w:val="16"/>
                        <w:szCs w:val="16"/>
                      </w:rPr>
                    </w:pPr>
                    <w:r w:rsidRPr="000B30AB">
                      <w:rPr>
                        <w:rFonts w:ascii="Calibri" w:eastAsia="Calibri" w:hAnsi="Calibri" w:cs="Calibri"/>
                        <w:noProof/>
                        <w:color w:val="000000"/>
                        <w:sz w:val="16"/>
                        <w:szCs w:val="16"/>
                      </w:rPr>
                      <w:t>Begränsad delning</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999045" w14:textId="6EDECF59" w:rsidR="000B30AB" w:rsidRDefault="000B30AB">
    <w:pPr>
      <w:pStyle w:val="Header"/>
    </w:pPr>
    <w:r>
      <w:rPr>
        <w:noProof/>
      </w:rPr>
      <mc:AlternateContent>
        <mc:Choice Requires="wps">
          <w:drawing>
            <wp:anchor distT="0" distB="0" distL="0" distR="0" simplePos="0" relativeHeight="251658242" behindDoc="0" locked="0" layoutInCell="1" allowOverlap="1" wp14:anchorId="74C5778C" wp14:editId="5AF50FC5">
              <wp:simplePos x="0" y="0"/>
              <wp:positionH relativeFrom="page">
                <wp:align>right</wp:align>
              </wp:positionH>
              <wp:positionV relativeFrom="page">
                <wp:align>top</wp:align>
              </wp:positionV>
              <wp:extent cx="1015365" cy="324485"/>
              <wp:effectExtent l="0" t="0" r="0" b="5715"/>
              <wp:wrapNone/>
              <wp:docPr id="1057242409" name="Textruta 3" descr="Begränsad deln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15365" cy="324485"/>
                      </a:xfrm>
                      <a:prstGeom prst="rect">
                        <a:avLst/>
                      </a:prstGeom>
                      <a:noFill/>
                      <a:ln>
                        <a:noFill/>
                      </a:ln>
                    </wps:spPr>
                    <wps:txbx>
                      <w:txbxContent>
                        <w:p w14:paraId="10250C60" w14:textId="78588814" w:rsidR="000B30AB" w:rsidRPr="000B30AB" w:rsidRDefault="000B30AB" w:rsidP="000B30AB">
                          <w:pPr>
                            <w:spacing w:after="0"/>
                            <w:rPr>
                              <w:rFonts w:ascii="Calibri" w:eastAsia="Calibri" w:hAnsi="Calibri" w:cs="Calibri"/>
                              <w:noProof/>
                              <w:color w:val="000000"/>
                              <w:sz w:val="16"/>
                              <w:szCs w:val="16"/>
                            </w:rPr>
                          </w:pPr>
                          <w:r w:rsidRPr="000B30AB">
                            <w:rPr>
                              <w:rFonts w:ascii="Calibri" w:eastAsia="Calibri" w:hAnsi="Calibri" w:cs="Calibri"/>
                              <w:noProof/>
                              <w:color w:val="000000"/>
                              <w:sz w:val="16"/>
                              <w:szCs w:val="16"/>
                            </w:rPr>
                            <w:t>Begränsad delning</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74C5778C" id="_x0000_t202" coordsize="21600,21600" o:spt="202" path="m,l,21600r21600,l21600,xe">
              <v:stroke joinstyle="miter"/>
              <v:path gradientshapeok="t" o:connecttype="rect"/>
            </v:shapetype>
            <v:shape id="Textruta 3" o:spid="_x0000_s1027" type="#_x0000_t202" alt="Begränsad delning" style="position:absolute;margin-left:28.75pt;margin-top:0;width:79.95pt;height:25.55pt;z-index:251658242;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" filled="f" stroked="f">
              <v:textbox style="mso-fit-shape-to-text:t" inset="0,15pt,20pt,0">
                <w:txbxContent>
                  <w:p w14:paraId="10250C60" w14:textId="78588814" w:rsidR="000B30AB" w:rsidRPr="000B30AB" w:rsidRDefault="000B30AB" w:rsidP="000B30AB">
                    <w:pPr>
                      <w:spacing w:after="0"/>
                      <w:rPr>
                        <w:rFonts w:ascii="Calibri" w:eastAsia="Calibri" w:hAnsi="Calibri" w:cs="Calibri"/>
                        <w:noProof/>
                        <w:color w:val="000000"/>
                        <w:sz w:val="16"/>
                        <w:szCs w:val="16"/>
                      </w:rPr>
                    </w:pPr>
                    <w:r w:rsidRPr="000B30AB">
                      <w:rPr>
                        <w:rFonts w:ascii="Calibri" w:eastAsia="Calibri" w:hAnsi="Calibri" w:cs="Calibri"/>
                        <w:noProof/>
                        <w:color w:val="000000"/>
                        <w:sz w:val="16"/>
                        <w:szCs w:val="16"/>
                      </w:rPr>
                      <w:t>Begränsad delning</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0BD34" w14:textId="14ED9EBF" w:rsidR="000B30AB" w:rsidRDefault="000B30AB">
    <w:pPr>
      <w:pStyle w:val="Header"/>
    </w:pPr>
    <w:r>
      <w:rPr>
        <w:noProof/>
      </w:rPr>
      <mc:AlternateContent>
        <mc:Choice Requires="wps">
          <w:drawing>
            <wp:anchor distT="0" distB="0" distL="0" distR="0" simplePos="0" relativeHeight="251658240" behindDoc="0" locked="0" layoutInCell="1" allowOverlap="1" wp14:anchorId="7AEFC84B" wp14:editId="1EF983C0">
              <wp:simplePos x="635" y="635"/>
              <wp:positionH relativeFrom="page">
                <wp:align>right</wp:align>
              </wp:positionH>
              <wp:positionV relativeFrom="page">
                <wp:align>top</wp:align>
              </wp:positionV>
              <wp:extent cx="1015365" cy="324485"/>
              <wp:effectExtent l="0" t="0" r="0" b="5715"/>
              <wp:wrapNone/>
              <wp:docPr id="324546866" name="Textruta 1" descr="Begränsad deln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15365" cy="324485"/>
                      </a:xfrm>
                      <a:prstGeom prst="rect">
                        <a:avLst/>
                      </a:prstGeom>
                      <a:noFill/>
                      <a:ln>
                        <a:noFill/>
                      </a:ln>
                    </wps:spPr>
                    <wps:txbx>
                      <w:txbxContent>
                        <w:p w14:paraId="66D809AF" w14:textId="08F87424" w:rsidR="000B30AB" w:rsidRPr="000B30AB" w:rsidRDefault="000B30AB" w:rsidP="000B30AB">
                          <w:pPr>
                            <w:spacing w:after="0"/>
                            <w:rPr>
                              <w:rFonts w:ascii="Calibri" w:eastAsia="Calibri" w:hAnsi="Calibri" w:cs="Calibri"/>
                              <w:noProof/>
                              <w:color w:val="000000"/>
                              <w:sz w:val="16"/>
                              <w:szCs w:val="16"/>
                            </w:rPr>
                          </w:pPr>
                          <w:r w:rsidRPr="000B30AB">
                            <w:rPr>
                              <w:rFonts w:ascii="Calibri" w:eastAsia="Calibri" w:hAnsi="Calibri" w:cs="Calibri"/>
                              <w:noProof/>
                              <w:color w:val="000000"/>
                              <w:sz w:val="16"/>
                              <w:szCs w:val="16"/>
                            </w:rPr>
                            <w:t>Begränsad delning</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7AEFC84B" id="_x0000_t202" coordsize="21600,21600" o:spt="202" path="m,l,21600r21600,l21600,xe">
              <v:stroke joinstyle="miter"/>
              <v:path gradientshapeok="t" o:connecttype="rect"/>
            </v:shapetype>
            <v:shape id="Textruta 1" o:spid="_x0000_s1028" type="#_x0000_t202" alt="Begränsad delning" style="position:absolute;margin-left:28.75pt;margin-top:0;width:79.95pt;height:25.5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" filled="f" stroked="f">
              <v:textbox style="mso-fit-shape-to-text:t" inset="0,15pt,20pt,0">
                <w:txbxContent>
                  <w:p w14:paraId="66D809AF" w14:textId="08F87424" w:rsidR="000B30AB" w:rsidRPr="000B30AB" w:rsidRDefault="000B30AB" w:rsidP="000B30AB">
                    <w:pPr>
                      <w:spacing w:after="0"/>
                      <w:rPr>
                        <w:rFonts w:ascii="Calibri" w:eastAsia="Calibri" w:hAnsi="Calibri" w:cs="Calibri"/>
                        <w:noProof/>
                        <w:color w:val="000000"/>
                        <w:sz w:val="16"/>
                        <w:szCs w:val="16"/>
                      </w:rPr>
                    </w:pPr>
                    <w:r w:rsidRPr="000B30AB">
                      <w:rPr>
                        <w:rFonts w:ascii="Calibri" w:eastAsia="Calibri" w:hAnsi="Calibri" w:cs="Calibri"/>
                        <w:noProof/>
                        <w:color w:val="000000"/>
                        <w:sz w:val="16"/>
                        <w:szCs w:val="16"/>
                      </w:rPr>
                      <w:t>Begränsad delning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AE3CB6"/>
    <w:multiLevelType w:val="hybridMultilevel"/>
    <w:tmpl w:val="03DA1598"/>
    <w:lvl w:ilvl="0" w:tplc="B8D8C0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358613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ederico Tartarini">
    <w15:presenceInfo w15:providerId="AD" w15:userId="S::federico.tartarini@sydney.edu.au::5ec8f09e-437c-49d8-b13d-64b24f36c2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2zepwa56vz2ryev2aoxraf420vzvwft0pzz&quot;&gt;LancetCountdown-Converted&lt;record-ids&gt;&lt;item&gt;12&lt;/item&gt;&lt;item&gt;13&lt;/item&gt;&lt;item&gt;36&lt;/item&gt;&lt;item&gt;42&lt;/item&gt;&lt;item&gt;86&lt;/item&gt;&lt;item&gt;88&lt;/item&gt;&lt;item&gt;105&lt;/item&gt;&lt;item&gt;123&lt;/item&gt;&lt;item&gt;130&lt;/item&gt;&lt;item&gt;132&lt;/item&gt;&lt;item&gt;174&lt;/item&gt;&lt;item&gt;203&lt;/item&gt;&lt;item&gt;204&lt;/item&gt;&lt;item&gt;217&lt;/item&gt;&lt;item&gt;253&lt;/item&gt;&lt;item&gt;254&lt;/item&gt;&lt;item&gt;255&lt;/item&gt;&lt;item&gt;272&lt;/item&gt;&lt;item&gt;273&lt;/item&gt;&lt;item&gt;274&lt;/item&gt;&lt;item&gt;275&lt;/item&gt;&lt;item&gt;277&lt;/item&gt;&lt;item&gt;305&lt;/item&gt;&lt;item&gt;308&lt;/item&gt;&lt;item&gt;310&lt;/item&gt;&lt;item&gt;314&lt;/item&gt;&lt;item&gt;315&lt;/item&gt;&lt;item&gt;319&lt;/item&gt;&lt;item&gt;323&lt;/item&gt;&lt;item&gt;351&lt;/item&gt;&lt;item&gt;352&lt;/item&gt;&lt;item&gt;353&lt;/item&gt;&lt;item&gt;354&lt;/item&gt;&lt;item&gt;355&lt;/item&gt;&lt;item&gt;357&lt;/item&gt;&lt;item&gt;508&lt;/item&gt;&lt;item&gt;517&lt;/item&gt;&lt;item&gt;518&lt;/item&gt;&lt;item&gt;527&lt;/item&gt;&lt;item&gt;530&lt;/item&gt;&lt;item&gt;553&lt;/item&gt;&lt;item&gt;574&lt;/item&gt;&lt;item&gt;633&lt;/item&gt;&lt;item&gt;642&lt;/item&gt;&lt;item&gt;652&lt;/item&gt;&lt;item&gt;655&lt;/item&gt;&lt;item&gt;659&lt;/item&gt;&lt;item&gt;660&lt;/item&gt;&lt;item&gt;663&lt;/item&gt;&lt;item&gt;670&lt;/item&gt;&lt;item&gt;671&lt;/item&gt;&lt;item&gt;675&lt;/item&gt;&lt;item&gt;681&lt;/item&gt;&lt;item&gt;692&lt;/item&gt;&lt;item&gt;693&lt;/item&gt;&lt;item&gt;696&lt;/item&gt;&lt;item&gt;697&lt;/item&gt;&lt;item&gt;698&lt;/item&gt;&lt;item&gt;699&lt;/item&gt;&lt;item&gt;700&lt;/item&gt;&lt;item&gt;701&lt;/item&gt;&lt;item&gt;704&lt;/item&gt;&lt;item&gt;705&lt;/item&gt;&lt;item&gt;706&lt;/item&gt;&lt;item&gt;708&lt;/item&gt;&lt;item&gt;709&lt;/item&gt;&lt;item&gt;710&lt;/item&gt;&lt;item&gt;711&lt;/item&gt;&lt;item&gt;712&lt;/item&gt;&lt;item&gt;715&lt;/item&gt;&lt;item&gt;717&lt;/item&gt;&lt;item&gt;718&lt;/item&gt;&lt;item&gt;719&lt;/item&gt;&lt;item&gt;720&lt;/item&gt;&lt;item&gt;721&lt;/item&gt;&lt;item&gt;722&lt;/item&gt;&lt;item&gt;724&lt;/item&gt;&lt;item&gt;725&lt;/item&gt;&lt;item&gt;726&lt;/item&gt;&lt;item&gt;727&lt;/item&gt;&lt;item&gt;730&lt;/item&gt;&lt;item&gt;731&lt;/item&gt;&lt;item&gt;734&lt;/item&gt;&lt;item&gt;735&lt;/item&gt;&lt;item&gt;736&lt;/item&gt;&lt;item&gt;738&lt;/item&gt;&lt;item&gt;739&lt;/item&gt;&lt;item&gt;740&lt;/item&gt;&lt;item&gt;741&lt;/item&gt;&lt;item&gt;742&lt;/item&gt;&lt;item&gt;743&lt;/item&gt;&lt;item&gt;744&lt;/item&gt;&lt;item&gt;745&lt;/item&gt;&lt;item&gt;746&lt;/item&gt;&lt;item&gt;747&lt;/item&gt;&lt;item&gt;748&lt;/item&gt;&lt;item&gt;749&lt;/item&gt;&lt;item&gt;750&lt;/item&gt;&lt;item&gt;751&lt;/item&gt;&lt;item&gt;752&lt;/item&gt;&lt;item&gt;753&lt;/item&gt;&lt;item&gt;755&lt;/item&gt;&lt;item&gt;756&lt;/item&gt;&lt;item&gt;757&lt;/item&gt;&lt;item&gt;758&lt;/item&gt;&lt;item&gt;759&lt;/item&gt;&lt;item&gt;760&lt;/item&gt;&lt;item&gt;761&lt;/item&gt;&lt;item&gt;763&lt;/item&gt;&lt;item&gt;764&lt;/item&gt;&lt;item&gt;765&lt;/item&gt;&lt;item&gt;766&lt;/item&gt;&lt;item&gt;768&lt;/item&gt;&lt;item&gt;769&lt;/item&gt;&lt;item&gt;770&lt;/item&gt;&lt;item&gt;775&lt;/item&gt;&lt;item&gt;777&lt;/item&gt;&lt;item&gt;778&lt;/item&gt;&lt;item&gt;779&lt;/item&gt;&lt;item&gt;785&lt;/item&gt;&lt;item&gt;786&lt;/item&gt;&lt;item&gt;787&lt;/item&gt;&lt;item&gt;788&lt;/item&gt;&lt;item&gt;813&lt;/item&gt;&lt;item&gt;826&lt;/item&gt;&lt;item&gt;827&lt;/item&gt;&lt;item&gt;828&lt;/item&gt;&lt;item&gt;829&lt;/item&gt;&lt;item&gt;830&lt;/item&gt;&lt;item&gt;832&lt;/item&gt;&lt;item&gt;836&lt;/item&gt;&lt;item&gt;837&lt;/item&gt;&lt;item&gt;838&lt;/item&gt;&lt;item&gt;842&lt;/item&gt;&lt;item&gt;850&lt;/item&gt;&lt;item&gt;854&lt;/item&gt;&lt;item&gt;860&lt;/item&gt;&lt;item&gt;880&lt;/item&gt;&lt;item&gt;885&lt;/item&gt;&lt;item&gt;888&lt;/item&gt;&lt;item&gt;892&lt;/item&gt;&lt;item&gt;894&lt;/item&gt;&lt;item&gt;896&lt;/item&gt;&lt;item&gt;900&lt;/item&gt;&lt;item&gt;901&lt;/item&gt;&lt;item&gt;910&lt;/item&gt;&lt;item&gt;913&lt;/item&gt;&lt;item&gt;930&lt;/item&gt;&lt;item&gt;932&lt;/item&gt;&lt;item&gt;934&lt;/item&gt;&lt;item&gt;942&lt;/item&gt;&lt;item&gt;955&lt;/item&gt;&lt;item&gt;956&lt;/item&gt;&lt;item&gt;957&lt;/item&gt;&lt;item&gt;959&lt;/item&gt;&lt;item&gt;976&lt;/item&gt;&lt;item&gt;979&lt;/item&gt;&lt;item&gt;985&lt;/item&gt;&lt;item&gt;986&lt;/item&gt;&lt;item&gt;987&lt;/item&gt;&lt;item&gt;988&lt;/item&gt;&lt;item&gt;989&lt;/item&gt;&lt;item&gt;990&lt;/item&gt;&lt;item&gt;992&lt;/item&gt;&lt;item&gt;993&lt;/item&gt;&lt;item&gt;994&lt;/item&gt;&lt;item&gt;995&lt;/item&gt;&lt;item&gt;997&lt;/item&gt;&lt;item&gt;998&lt;/item&gt;&lt;item&gt;999&lt;/item&gt;&lt;item&gt;1002&lt;/item&gt;&lt;item&gt;1003&lt;/item&gt;&lt;item&gt;1004&lt;/item&gt;&lt;item&gt;1015&lt;/item&gt;&lt;item&gt;1031&lt;/item&gt;&lt;item&gt;1032&lt;/item&gt;&lt;item&gt;1033&lt;/item&gt;&lt;item&gt;1034&lt;/item&gt;&lt;item&gt;1035&lt;/item&gt;&lt;item&gt;1036&lt;/item&gt;&lt;item&gt;1037&lt;/item&gt;&lt;item&gt;1038&lt;/item&gt;&lt;item&gt;1039&lt;/item&gt;&lt;item&gt;1040&lt;/item&gt;&lt;item&gt;1041&lt;/item&gt;&lt;item&gt;1042&lt;/item&gt;&lt;item&gt;1043&lt;/item&gt;&lt;item&gt;1044&lt;/item&gt;&lt;item&gt;1045&lt;/item&gt;&lt;item&gt;1048&lt;/item&gt;&lt;item&gt;1049&lt;/item&gt;&lt;item&gt;1050&lt;/item&gt;&lt;item&gt;1051&lt;/item&gt;&lt;item&gt;1052&lt;/item&gt;&lt;item&gt;1053&lt;/item&gt;&lt;item&gt;1055&lt;/item&gt;&lt;item&gt;1059&lt;/item&gt;&lt;item&gt;1060&lt;/item&gt;&lt;item&gt;1062&lt;/item&gt;&lt;item&gt;1063&lt;/item&gt;&lt;item&gt;1086&lt;/item&gt;&lt;item&gt;1087&lt;/item&gt;&lt;item&gt;1088&lt;/item&gt;&lt;item&gt;1089&lt;/item&gt;&lt;item&gt;1091&lt;/item&gt;&lt;item&gt;1093&lt;/item&gt;&lt;item&gt;1094&lt;/item&gt;&lt;item&gt;1095&lt;/item&gt;&lt;item&gt;1097&lt;/item&gt;&lt;item&gt;1099&lt;/item&gt;&lt;item&gt;1100&lt;/item&gt;&lt;item&gt;1107&lt;/item&gt;&lt;item&gt;1117&lt;/item&gt;&lt;item&gt;1118&lt;/item&gt;&lt;item&gt;1119&lt;/item&gt;&lt;item&gt;1121&lt;/item&gt;&lt;item&gt;1122&lt;/item&gt;&lt;item&gt;1124&lt;/item&gt;&lt;item&gt;1128&lt;/item&gt;&lt;item&gt;1131&lt;/item&gt;&lt;item&gt;1132&lt;/item&gt;&lt;item&gt;1133&lt;/item&gt;&lt;item&gt;1134&lt;/item&gt;&lt;item&gt;1135&lt;/item&gt;&lt;item&gt;1136&lt;/item&gt;&lt;item&gt;1137&lt;/item&gt;&lt;item&gt;1139&lt;/item&gt;&lt;item&gt;1141&lt;/item&gt;&lt;item&gt;1142&lt;/item&gt;&lt;item&gt;1144&lt;/item&gt;&lt;item&gt;1148&lt;/item&gt;&lt;item&gt;1166&lt;/item&gt;&lt;item&gt;1169&lt;/item&gt;&lt;item&gt;1170&lt;/item&gt;&lt;item&gt;1171&lt;/item&gt;&lt;item&gt;1172&lt;/item&gt;&lt;item&gt;1173&lt;/item&gt;&lt;item&gt;1174&lt;/item&gt;&lt;item&gt;1175&lt;/item&gt;&lt;item&gt;1176&lt;/item&gt;&lt;item&gt;1218&lt;/item&gt;&lt;item&gt;1219&lt;/item&gt;&lt;item&gt;1221&lt;/item&gt;&lt;/record-ids&gt;&lt;/item&gt;&lt;/Libraries&gt;"/>
  </w:docVars>
  <w:rsids>
    <w:rsidRoot w:val="00FA2AB3"/>
    <w:rsid w:val="00000578"/>
    <w:rsid w:val="00013C3F"/>
    <w:rsid w:val="0001448E"/>
    <w:rsid w:val="00014568"/>
    <w:rsid w:val="00020ED2"/>
    <w:rsid w:val="00026C39"/>
    <w:rsid w:val="00031841"/>
    <w:rsid w:val="0003455F"/>
    <w:rsid w:val="00034D15"/>
    <w:rsid w:val="00043955"/>
    <w:rsid w:val="00044F4C"/>
    <w:rsid w:val="0004533C"/>
    <w:rsid w:val="00046E44"/>
    <w:rsid w:val="00050C80"/>
    <w:rsid w:val="00057427"/>
    <w:rsid w:val="000611F9"/>
    <w:rsid w:val="000623BE"/>
    <w:rsid w:val="0006662E"/>
    <w:rsid w:val="0007012B"/>
    <w:rsid w:val="000718CA"/>
    <w:rsid w:val="00075F23"/>
    <w:rsid w:val="000769F8"/>
    <w:rsid w:val="00077D40"/>
    <w:rsid w:val="00082144"/>
    <w:rsid w:val="000849E3"/>
    <w:rsid w:val="00085CF7"/>
    <w:rsid w:val="000927A6"/>
    <w:rsid w:val="00092C72"/>
    <w:rsid w:val="00093B14"/>
    <w:rsid w:val="00094DFA"/>
    <w:rsid w:val="0009711D"/>
    <w:rsid w:val="000A23D8"/>
    <w:rsid w:val="000A2A20"/>
    <w:rsid w:val="000A4EC2"/>
    <w:rsid w:val="000A6CEC"/>
    <w:rsid w:val="000B30AB"/>
    <w:rsid w:val="000B3DB5"/>
    <w:rsid w:val="000B4F3F"/>
    <w:rsid w:val="000C3AA7"/>
    <w:rsid w:val="000C44B1"/>
    <w:rsid w:val="000D0FFB"/>
    <w:rsid w:val="000D19B9"/>
    <w:rsid w:val="000E1DC3"/>
    <w:rsid w:val="000E252F"/>
    <w:rsid w:val="000E2AFE"/>
    <w:rsid w:val="000F066E"/>
    <w:rsid w:val="000F7306"/>
    <w:rsid w:val="000F7D1A"/>
    <w:rsid w:val="00104E20"/>
    <w:rsid w:val="001078D9"/>
    <w:rsid w:val="00113737"/>
    <w:rsid w:val="001341EE"/>
    <w:rsid w:val="00135149"/>
    <w:rsid w:val="0014418F"/>
    <w:rsid w:val="00154931"/>
    <w:rsid w:val="0015651F"/>
    <w:rsid w:val="00156AA2"/>
    <w:rsid w:val="001613F7"/>
    <w:rsid w:val="0017279C"/>
    <w:rsid w:val="0018068E"/>
    <w:rsid w:val="001814AC"/>
    <w:rsid w:val="00187749"/>
    <w:rsid w:val="001A2AF8"/>
    <w:rsid w:val="001A67F4"/>
    <w:rsid w:val="001B2A7B"/>
    <w:rsid w:val="001C0EE6"/>
    <w:rsid w:val="001C38B4"/>
    <w:rsid w:val="001C4AEC"/>
    <w:rsid w:val="001D0A9E"/>
    <w:rsid w:val="001D4043"/>
    <w:rsid w:val="001D43C1"/>
    <w:rsid w:val="001D7E2D"/>
    <w:rsid w:val="001E3908"/>
    <w:rsid w:val="001E4E14"/>
    <w:rsid w:val="001E5863"/>
    <w:rsid w:val="001E75AC"/>
    <w:rsid w:val="00205DC5"/>
    <w:rsid w:val="00211234"/>
    <w:rsid w:val="00211ECB"/>
    <w:rsid w:val="00213BC6"/>
    <w:rsid w:val="00224903"/>
    <w:rsid w:val="00224C72"/>
    <w:rsid w:val="002256B2"/>
    <w:rsid w:val="00234026"/>
    <w:rsid w:val="00234382"/>
    <w:rsid w:val="00235E36"/>
    <w:rsid w:val="002370A2"/>
    <w:rsid w:val="00242DDC"/>
    <w:rsid w:val="002475CC"/>
    <w:rsid w:val="00247B9A"/>
    <w:rsid w:val="00251334"/>
    <w:rsid w:val="00256107"/>
    <w:rsid w:val="00261589"/>
    <w:rsid w:val="002624FA"/>
    <w:rsid w:val="00263426"/>
    <w:rsid w:val="00263E2A"/>
    <w:rsid w:val="0026747E"/>
    <w:rsid w:val="002677BB"/>
    <w:rsid w:val="002724C7"/>
    <w:rsid w:val="00275FBB"/>
    <w:rsid w:val="002805B3"/>
    <w:rsid w:val="002820A7"/>
    <w:rsid w:val="00286BE6"/>
    <w:rsid w:val="00290DF6"/>
    <w:rsid w:val="002A69E7"/>
    <w:rsid w:val="002B3E85"/>
    <w:rsid w:val="002B7E71"/>
    <w:rsid w:val="002D06FB"/>
    <w:rsid w:val="002D3A9E"/>
    <w:rsid w:val="002E0593"/>
    <w:rsid w:val="002F11DE"/>
    <w:rsid w:val="002F2CC3"/>
    <w:rsid w:val="003001B1"/>
    <w:rsid w:val="003062FD"/>
    <w:rsid w:val="003068D2"/>
    <w:rsid w:val="003126F7"/>
    <w:rsid w:val="00315ED6"/>
    <w:rsid w:val="003233D5"/>
    <w:rsid w:val="0033169B"/>
    <w:rsid w:val="00332283"/>
    <w:rsid w:val="00332723"/>
    <w:rsid w:val="0033586B"/>
    <w:rsid w:val="00335D24"/>
    <w:rsid w:val="00336F39"/>
    <w:rsid w:val="00346116"/>
    <w:rsid w:val="00346D51"/>
    <w:rsid w:val="0035280F"/>
    <w:rsid w:val="0035384B"/>
    <w:rsid w:val="00357C00"/>
    <w:rsid w:val="00357EF4"/>
    <w:rsid w:val="00363705"/>
    <w:rsid w:val="00366643"/>
    <w:rsid w:val="0036795E"/>
    <w:rsid w:val="00367EC2"/>
    <w:rsid w:val="0037526C"/>
    <w:rsid w:val="00380EAC"/>
    <w:rsid w:val="003810DD"/>
    <w:rsid w:val="003878C1"/>
    <w:rsid w:val="0039380D"/>
    <w:rsid w:val="003A12E5"/>
    <w:rsid w:val="003B01F1"/>
    <w:rsid w:val="003B671E"/>
    <w:rsid w:val="003C0B98"/>
    <w:rsid w:val="003C5419"/>
    <w:rsid w:val="003D1255"/>
    <w:rsid w:val="003E256F"/>
    <w:rsid w:val="003E3528"/>
    <w:rsid w:val="003F5F59"/>
    <w:rsid w:val="00400DA0"/>
    <w:rsid w:val="00401F7A"/>
    <w:rsid w:val="0042658A"/>
    <w:rsid w:val="004309D8"/>
    <w:rsid w:val="00447574"/>
    <w:rsid w:val="004509A8"/>
    <w:rsid w:val="00453F3A"/>
    <w:rsid w:val="00467A57"/>
    <w:rsid w:val="00472D80"/>
    <w:rsid w:val="00474CB6"/>
    <w:rsid w:val="00477D7A"/>
    <w:rsid w:val="00484346"/>
    <w:rsid w:val="00487E5D"/>
    <w:rsid w:val="00493EC1"/>
    <w:rsid w:val="004A5293"/>
    <w:rsid w:val="004B1CEA"/>
    <w:rsid w:val="004B24F5"/>
    <w:rsid w:val="004B364B"/>
    <w:rsid w:val="004B547F"/>
    <w:rsid w:val="004C1F7B"/>
    <w:rsid w:val="004C394E"/>
    <w:rsid w:val="004C7C2E"/>
    <w:rsid w:val="004D5AFF"/>
    <w:rsid w:val="004D7DCA"/>
    <w:rsid w:val="004E1DF1"/>
    <w:rsid w:val="004E37DD"/>
    <w:rsid w:val="004E5E82"/>
    <w:rsid w:val="004F089F"/>
    <w:rsid w:val="004F625E"/>
    <w:rsid w:val="004F637C"/>
    <w:rsid w:val="00504341"/>
    <w:rsid w:val="00513DE8"/>
    <w:rsid w:val="00514280"/>
    <w:rsid w:val="005174FF"/>
    <w:rsid w:val="00517EA8"/>
    <w:rsid w:val="005241C1"/>
    <w:rsid w:val="00525C47"/>
    <w:rsid w:val="00532A2A"/>
    <w:rsid w:val="00544721"/>
    <w:rsid w:val="00545677"/>
    <w:rsid w:val="00547AA6"/>
    <w:rsid w:val="005542AB"/>
    <w:rsid w:val="00563C93"/>
    <w:rsid w:val="00570F30"/>
    <w:rsid w:val="00571504"/>
    <w:rsid w:val="00572B30"/>
    <w:rsid w:val="00576B02"/>
    <w:rsid w:val="0058746E"/>
    <w:rsid w:val="00596191"/>
    <w:rsid w:val="005A100C"/>
    <w:rsid w:val="005B6393"/>
    <w:rsid w:val="005C0789"/>
    <w:rsid w:val="005C11AE"/>
    <w:rsid w:val="005C3124"/>
    <w:rsid w:val="005C47DB"/>
    <w:rsid w:val="005C6804"/>
    <w:rsid w:val="005D2EEA"/>
    <w:rsid w:val="005D4E7E"/>
    <w:rsid w:val="005E3380"/>
    <w:rsid w:val="005E5A61"/>
    <w:rsid w:val="005E700C"/>
    <w:rsid w:val="005F00E3"/>
    <w:rsid w:val="005F0B53"/>
    <w:rsid w:val="005F184A"/>
    <w:rsid w:val="005F20F0"/>
    <w:rsid w:val="005F4D2E"/>
    <w:rsid w:val="005F55B3"/>
    <w:rsid w:val="005F7DDF"/>
    <w:rsid w:val="00601ECB"/>
    <w:rsid w:val="00613104"/>
    <w:rsid w:val="006224A6"/>
    <w:rsid w:val="00625634"/>
    <w:rsid w:val="00626888"/>
    <w:rsid w:val="00632C9C"/>
    <w:rsid w:val="00641A5B"/>
    <w:rsid w:val="0066037E"/>
    <w:rsid w:val="00665F68"/>
    <w:rsid w:val="006711D6"/>
    <w:rsid w:val="00671AC6"/>
    <w:rsid w:val="00680643"/>
    <w:rsid w:val="00680A2F"/>
    <w:rsid w:val="0068344F"/>
    <w:rsid w:val="0069390D"/>
    <w:rsid w:val="00697A30"/>
    <w:rsid w:val="006A6024"/>
    <w:rsid w:val="006A6A42"/>
    <w:rsid w:val="006B0771"/>
    <w:rsid w:val="006B2E1F"/>
    <w:rsid w:val="006B38B4"/>
    <w:rsid w:val="006B7690"/>
    <w:rsid w:val="006C4BFE"/>
    <w:rsid w:val="006D55F1"/>
    <w:rsid w:val="006D589C"/>
    <w:rsid w:val="006E08C9"/>
    <w:rsid w:val="006E6F4B"/>
    <w:rsid w:val="006F5F0C"/>
    <w:rsid w:val="006F61EB"/>
    <w:rsid w:val="00710A7B"/>
    <w:rsid w:val="0072485D"/>
    <w:rsid w:val="00731ACF"/>
    <w:rsid w:val="0074524B"/>
    <w:rsid w:val="00745EF3"/>
    <w:rsid w:val="0074783D"/>
    <w:rsid w:val="007500FE"/>
    <w:rsid w:val="00754C23"/>
    <w:rsid w:val="0076310F"/>
    <w:rsid w:val="00767D89"/>
    <w:rsid w:val="0078268A"/>
    <w:rsid w:val="00785CE5"/>
    <w:rsid w:val="00787923"/>
    <w:rsid w:val="007A4D65"/>
    <w:rsid w:val="007B1E1B"/>
    <w:rsid w:val="007C37EB"/>
    <w:rsid w:val="007C39B2"/>
    <w:rsid w:val="007C42D6"/>
    <w:rsid w:val="007D28AA"/>
    <w:rsid w:val="007D2920"/>
    <w:rsid w:val="007E0393"/>
    <w:rsid w:val="007E413A"/>
    <w:rsid w:val="007E5320"/>
    <w:rsid w:val="007E730D"/>
    <w:rsid w:val="007F0698"/>
    <w:rsid w:val="007F4665"/>
    <w:rsid w:val="007F6F88"/>
    <w:rsid w:val="008004C6"/>
    <w:rsid w:val="0080475A"/>
    <w:rsid w:val="0080488C"/>
    <w:rsid w:val="00805F33"/>
    <w:rsid w:val="00820627"/>
    <w:rsid w:val="00825BD0"/>
    <w:rsid w:val="00827C61"/>
    <w:rsid w:val="008348CB"/>
    <w:rsid w:val="00835F75"/>
    <w:rsid w:val="00840FDE"/>
    <w:rsid w:val="00843242"/>
    <w:rsid w:val="008437BF"/>
    <w:rsid w:val="00843BE9"/>
    <w:rsid w:val="00847667"/>
    <w:rsid w:val="00853A25"/>
    <w:rsid w:val="00854E17"/>
    <w:rsid w:val="00855AE4"/>
    <w:rsid w:val="00855FB4"/>
    <w:rsid w:val="00856E7C"/>
    <w:rsid w:val="00857D21"/>
    <w:rsid w:val="008627A6"/>
    <w:rsid w:val="00864743"/>
    <w:rsid w:val="00866751"/>
    <w:rsid w:val="00870C78"/>
    <w:rsid w:val="00873A36"/>
    <w:rsid w:val="008810C5"/>
    <w:rsid w:val="00883797"/>
    <w:rsid w:val="008869B5"/>
    <w:rsid w:val="008947F1"/>
    <w:rsid w:val="008A34EC"/>
    <w:rsid w:val="008A5401"/>
    <w:rsid w:val="008B12F4"/>
    <w:rsid w:val="008B78BA"/>
    <w:rsid w:val="008C14E7"/>
    <w:rsid w:val="008C288E"/>
    <w:rsid w:val="008C5B14"/>
    <w:rsid w:val="008C7981"/>
    <w:rsid w:val="008D0F95"/>
    <w:rsid w:val="008D63EC"/>
    <w:rsid w:val="008E03F3"/>
    <w:rsid w:val="008E753D"/>
    <w:rsid w:val="008F2EC3"/>
    <w:rsid w:val="00901487"/>
    <w:rsid w:val="00901599"/>
    <w:rsid w:val="0090262E"/>
    <w:rsid w:val="009055BC"/>
    <w:rsid w:val="00906882"/>
    <w:rsid w:val="00917DBF"/>
    <w:rsid w:val="009248AD"/>
    <w:rsid w:val="00927F48"/>
    <w:rsid w:val="00954B7F"/>
    <w:rsid w:val="00954BA6"/>
    <w:rsid w:val="00956952"/>
    <w:rsid w:val="00960AE0"/>
    <w:rsid w:val="00960BF1"/>
    <w:rsid w:val="00963978"/>
    <w:rsid w:val="0096541A"/>
    <w:rsid w:val="00966025"/>
    <w:rsid w:val="009671D7"/>
    <w:rsid w:val="0097073F"/>
    <w:rsid w:val="00970FCA"/>
    <w:rsid w:val="00971A0E"/>
    <w:rsid w:val="00972242"/>
    <w:rsid w:val="00972B4F"/>
    <w:rsid w:val="009815C4"/>
    <w:rsid w:val="00986180"/>
    <w:rsid w:val="009962AF"/>
    <w:rsid w:val="00996A45"/>
    <w:rsid w:val="00997946"/>
    <w:rsid w:val="009A5AA9"/>
    <w:rsid w:val="009B222B"/>
    <w:rsid w:val="009B2A84"/>
    <w:rsid w:val="009B2DAD"/>
    <w:rsid w:val="009C1623"/>
    <w:rsid w:val="009D19AD"/>
    <w:rsid w:val="009D4AC7"/>
    <w:rsid w:val="009D5877"/>
    <w:rsid w:val="009D6C28"/>
    <w:rsid w:val="009E223E"/>
    <w:rsid w:val="009E3E83"/>
    <w:rsid w:val="009E6F0F"/>
    <w:rsid w:val="009F1C26"/>
    <w:rsid w:val="009F3EC6"/>
    <w:rsid w:val="009F5FDC"/>
    <w:rsid w:val="009F7E72"/>
    <w:rsid w:val="00A01C51"/>
    <w:rsid w:val="00A01E15"/>
    <w:rsid w:val="00A03EA5"/>
    <w:rsid w:val="00A07A93"/>
    <w:rsid w:val="00A155E9"/>
    <w:rsid w:val="00A211CE"/>
    <w:rsid w:val="00A250A6"/>
    <w:rsid w:val="00A256C5"/>
    <w:rsid w:val="00A371EB"/>
    <w:rsid w:val="00A60DF0"/>
    <w:rsid w:val="00A86B34"/>
    <w:rsid w:val="00A90D79"/>
    <w:rsid w:val="00A91C44"/>
    <w:rsid w:val="00A969DC"/>
    <w:rsid w:val="00AA2C98"/>
    <w:rsid w:val="00AA37C0"/>
    <w:rsid w:val="00AA49B4"/>
    <w:rsid w:val="00AB0888"/>
    <w:rsid w:val="00AB14EB"/>
    <w:rsid w:val="00AB1DA3"/>
    <w:rsid w:val="00AB4244"/>
    <w:rsid w:val="00AB5A9D"/>
    <w:rsid w:val="00AB72F3"/>
    <w:rsid w:val="00AC0865"/>
    <w:rsid w:val="00AC125C"/>
    <w:rsid w:val="00AC23BA"/>
    <w:rsid w:val="00AC70B7"/>
    <w:rsid w:val="00AD2A67"/>
    <w:rsid w:val="00AE55C7"/>
    <w:rsid w:val="00AE7006"/>
    <w:rsid w:val="00AF1BC9"/>
    <w:rsid w:val="00AF604E"/>
    <w:rsid w:val="00B0743A"/>
    <w:rsid w:val="00B07F31"/>
    <w:rsid w:val="00B16116"/>
    <w:rsid w:val="00B20C79"/>
    <w:rsid w:val="00B20CDA"/>
    <w:rsid w:val="00B215BA"/>
    <w:rsid w:val="00B22A3D"/>
    <w:rsid w:val="00B27043"/>
    <w:rsid w:val="00B32B28"/>
    <w:rsid w:val="00B35228"/>
    <w:rsid w:val="00B4171F"/>
    <w:rsid w:val="00B4529E"/>
    <w:rsid w:val="00B45D09"/>
    <w:rsid w:val="00B4603A"/>
    <w:rsid w:val="00B50ED1"/>
    <w:rsid w:val="00B60026"/>
    <w:rsid w:val="00B603B3"/>
    <w:rsid w:val="00B628D6"/>
    <w:rsid w:val="00B65948"/>
    <w:rsid w:val="00B67118"/>
    <w:rsid w:val="00B71F09"/>
    <w:rsid w:val="00B7313E"/>
    <w:rsid w:val="00B744A4"/>
    <w:rsid w:val="00B74CA6"/>
    <w:rsid w:val="00B82000"/>
    <w:rsid w:val="00B928C3"/>
    <w:rsid w:val="00B93CF4"/>
    <w:rsid w:val="00B9414D"/>
    <w:rsid w:val="00B970B9"/>
    <w:rsid w:val="00BA530A"/>
    <w:rsid w:val="00BA7CB2"/>
    <w:rsid w:val="00BB1614"/>
    <w:rsid w:val="00BB3DEA"/>
    <w:rsid w:val="00BC14D0"/>
    <w:rsid w:val="00BC5078"/>
    <w:rsid w:val="00BC61A2"/>
    <w:rsid w:val="00BD75F9"/>
    <w:rsid w:val="00BE0441"/>
    <w:rsid w:val="00BE4CCE"/>
    <w:rsid w:val="00BF6D36"/>
    <w:rsid w:val="00BF751B"/>
    <w:rsid w:val="00C0441F"/>
    <w:rsid w:val="00C06360"/>
    <w:rsid w:val="00C10F9A"/>
    <w:rsid w:val="00C126EF"/>
    <w:rsid w:val="00C145CA"/>
    <w:rsid w:val="00C21120"/>
    <w:rsid w:val="00C25D2C"/>
    <w:rsid w:val="00C32A60"/>
    <w:rsid w:val="00C3474D"/>
    <w:rsid w:val="00C37B09"/>
    <w:rsid w:val="00C37D1B"/>
    <w:rsid w:val="00C44B06"/>
    <w:rsid w:val="00C47A43"/>
    <w:rsid w:val="00C51DEC"/>
    <w:rsid w:val="00C56488"/>
    <w:rsid w:val="00C56A9A"/>
    <w:rsid w:val="00C573F9"/>
    <w:rsid w:val="00C60ED3"/>
    <w:rsid w:val="00C61474"/>
    <w:rsid w:val="00C623EA"/>
    <w:rsid w:val="00C630E6"/>
    <w:rsid w:val="00C6604B"/>
    <w:rsid w:val="00C74A68"/>
    <w:rsid w:val="00C84DA4"/>
    <w:rsid w:val="00C86B89"/>
    <w:rsid w:val="00C94E74"/>
    <w:rsid w:val="00C95051"/>
    <w:rsid w:val="00C973E6"/>
    <w:rsid w:val="00C9790E"/>
    <w:rsid w:val="00CB2D34"/>
    <w:rsid w:val="00CB471A"/>
    <w:rsid w:val="00CC60D3"/>
    <w:rsid w:val="00CD22C9"/>
    <w:rsid w:val="00CD2E7C"/>
    <w:rsid w:val="00CD4F1C"/>
    <w:rsid w:val="00CE471C"/>
    <w:rsid w:val="00CF20D7"/>
    <w:rsid w:val="00CF25C8"/>
    <w:rsid w:val="00CF4B23"/>
    <w:rsid w:val="00CF5959"/>
    <w:rsid w:val="00CF6011"/>
    <w:rsid w:val="00D00813"/>
    <w:rsid w:val="00D10EB7"/>
    <w:rsid w:val="00D16A33"/>
    <w:rsid w:val="00D17F3E"/>
    <w:rsid w:val="00D2369F"/>
    <w:rsid w:val="00D23D3A"/>
    <w:rsid w:val="00D258D2"/>
    <w:rsid w:val="00D25F11"/>
    <w:rsid w:val="00D266A7"/>
    <w:rsid w:val="00D26729"/>
    <w:rsid w:val="00D40BAA"/>
    <w:rsid w:val="00D429FD"/>
    <w:rsid w:val="00D43F4B"/>
    <w:rsid w:val="00D448E5"/>
    <w:rsid w:val="00D52473"/>
    <w:rsid w:val="00D632E4"/>
    <w:rsid w:val="00D63E88"/>
    <w:rsid w:val="00D66ED7"/>
    <w:rsid w:val="00D73C19"/>
    <w:rsid w:val="00D757F1"/>
    <w:rsid w:val="00D83202"/>
    <w:rsid w:val="00DB010D"/>
    <w:rsid w:val="00DB1F55"/>
    <w:rsid w:val="00DB6B49"/>
    <w:rsid w:val="00DB70D7"/>
    <w:rsid w:val="00DC0365"/>
    <w:rsid w:val="00DC0AE3"/>
    <w:rsid w:val="00DC44D1"/>
    <w:rsid w:val="00DC7E58"/>
    <w:rsid w:val="00DD03FC"/>
    <w:rsid w:val="00DD5814"/>
    <w:rsid w:val="00DE3EE9"/>
    <w:rsid w:val="00DE40F9"/>
    <w:rsid w:val="00DE436C"/>
    <w:rsid w:val="00DE56E6"/>
    <w:rsid w:val="00DF027B"/>
    <w:rsid w:val="00DF74DE"/>
    <w:rsid w:val="00DF7FE2"/>
    <w:rsid w:val="00E03493"/>
    <w:rsid w:val="00E06075"/>
    <w:rsid w:val="00E064D7"/>
    <w:rsid w:val="00E0673C"/>
    <w:rsid w:val="00E0794D"/>
    <w:rsid w:val="00E11EB2"/>
    <w:rsid w:val="00E15197"/>
    <w:rsid w:val="00E17B00"/>
    <w:rsid w:val="00E21EC4"/>
    <w:rsid w:val="00E23F4C"/>
    <w:rsid w:val="00E24B56"/>
    <w:rsid w:val="00E26678"/>
    <w:rsid w:val="00E279CB"/>
    <w:rsid w:val="00E3125F"/>
    <w:rsid w:val="00E32DC6"/>
    <w:rsid w:val="00E3510F"/>
    <w:rsid w:val="00E369C8"/>
    <w:rsid w:val="00E37D7E"/>
    <w:rsid w:val="00E434FE"/>
    <w:rsid w:val="00E4543E"/>
    <w:rsid w:val="00E4662C"/>
    <w:rsid w:val="00E50F67"/>
    <w:rsid w:val="00E55F06"/>
    <w:rsid w:val="00E5666E"/>
    <w:rsid w:val="00E713D1"/>
    <w:rsid w:val="00E72964"/>
    <w:rsid w:val="00E76532"/>
    <w:rsid w:val="00E82451"/>
    <w:rsid w:val="00E827B8"/>
    <w:rsid w:val="00E82D47"/>
    <w:rsid w:val="00E85964"/>
    <w:rsid w:val="00E85CFA"/>
    <w:rsid w:val="00E87C42"/>
    <w:rsid w:val="00E9087C"/>
    <w:rsid w:val="00E955C3"/>
    <w:rsid w:val="00EA0731"/>
    <w:rsid w:val="00EA5E6B"/>
    <w:rsid w:val="00EB4437"/>
    <w:rsid w:val="00EB5E01"/>
    <w:rsid w:val="00EB7E9D"/>
    <w:rsid w:val="00EC37A8"/>
    <w:rsid w:val="00EC3E4C"/>
    <w:rsid w:val="00EC3FCF"/>
    <w:rsid w:val="00EC4A5B"/>
    <w:rsid w:val="00EC6243"/>
    <w:rsid w:val="00EC7CBB"/>
    <w:rsid w:val="00ED3213"/>
    <w:rsid w:val="00ED7F43"/>
    <w:rsid w:val="00EE0CE8"/>
    <w:rsid w:val="00EE4755"/>
    <w:rsid w:val="00EE7C99"/>
    <w:rsid w:val="00EF1490"/>
    <w:rsid w:val="00EF51A0"/>
    <w:rsid w:val="00EF59DA"/>
    <w:rsid w:val="00EF5B2B"/>
    <w:rsid w:val="00EF5DCB"/>
    <w:rsid w:val="00F108DA"/>
    <w:rsid w:val="00F22963"/>
    <w:rsid w:val="00F24681"/>
    <w:rsid w:val="00F25E55"/>
    <w:rsid w:val="00F25FEA"/>
    <w:rsid w:val="00F3025D"/>
    <w:rsid w:val="00F323FA"/>
    <w:rsid w:val="00F4164B"/>
    <w:rsid w:val="00F46B0D"/>
    <w:rsid w:val="00F47654"/>
    <w:rsid w:val="00F47F93"/>
    <w:rsid w:val="00F50CB5"/>
    <w:rsid w:val="00F5280A"/>
    <w:rsid w:val="00F53598"/>
    <w:rsid w:val="00F53C3D"/>
    <w:rsid w:val="00F54E7B"/>
    <w:rsid w:val="00F54F76"/>
    <w:rsid w:val="00F55BF7"/>
    <w:rsid w:val="00F60E88"/>
    <w:rsid w:val="00F613D7"/>
    <w:rsid w:val="00F65B1B"/>
    <w:rsid w:val="00F67068"/>
    <w:rsid w:val="00F73304"/>
    <w:rsid w:val="00F76CE0"/>
    <w:rsid w:val="00F967EC"/>
    <w:rsid w:val="00F96C55"/>
    <w:rsid w:val="00F96D37"/>
    <w:rsid w:val="00FA2AB3"/>
    <w:rsid w:val="00FB2290"/>
    <w:rsid w:val="00FB3B65"/>
    <w:rsid w:val="00FB7DE7"/>
    <w:rsid w:val="00FC454A"/>
    <w:rsid w:val="00FC60D9"/>
    <w:rsid w:val="00FD09FD"/>
    <w:rsid w:val="00FE1149"/>
    <w:rsid w:val="00FE4701"/>
    <w:rsid w:val="00FF70D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1CA953"/>
  <w15:chartTrackingRefBased/>
  <w15:docId w15:val="{585D26C2-7847-4650-86DC-D832B932D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474"/>
    <w:rPr>
      <w:rFonts w:ascii="Times New Roman" w:eastAsiaTheme="minorHAnsi" w:hAnsi="Times New Roman"/>
      <w:sz w:val="20"/>
    </w:rPr>
  </w:style>
  <w:style w:type="paragraph" w:styleId="Heading1">
    <w:name w:val="heading 1"/>
    <w:basedOn w:val="Normal"/>
    <w:next w:val="Normal"/>
    <w:link w:val="Heading1Char"/>
    <w:qFormat/>
    <w:rsid w:val="00B628D6"/>
    <w:pPr>
      <w:keepNext/>
      <w:keepLines/>
      <w:spacing w:before="240" w:after="0"/>
      <w:outlineLvl w:val="0"/>
    </w:pPr>
    <w:rPr>
      <w:rFonts w:eastAsiaTheme="majorEastAsia" w:cstheme="majorBidi"/>
      <w:b/>
      <w:sz w:val="32"/>
      <w:szCs w:val="32"/>
    </w:rPr>
  </w:style>
  <w:style w:type="paragraph" w:styleId="Heading2">
    <w:name w:val="heading 2"/>
    <w:basedOn w:val="Normal"/>
    <w:link w:val="Heading2Char"/>
    <w:uiPriority w:val="9"/>
    <w:qFormat/>
    <w:rsid w:val="00FC60D9"/>
    <w:pPr>
      <w:spacing w:before="100" w:beforeAutospacing="1" w:after="100" w:afterAutospacing="1" w:line="240" w:lineRule="auto"/>
      <w:outlineLvl w:val="1"/>
    </w:pPr>
    <w:rPr>
      <w:rFonts w:eastAsia="Times New Roman" w:cs="Times New Roman"/>
      <w:b/>
      <w:bCs/>
      <w:sz w:val="26"/>
      <w:szCs w:val="36"/>
      <w:lang w:val="en-GB" w:eastAsia="en-GB"/>
    </w:rPr>
  </w:style>
  <w:style w:type="paragraph" w:styleId="Heading3">
    <w:name w:val="heading 3"/>
    <w:basedOn w:val="Normal"/>
    <w:link w:val="Heading3Char"/>
    <w:uiPriority w:val="9"/>
    <w:qFormat/>
    <w:rsid w:val="00B628D6"/>
    <w:pPr>
      <w:spacing w:before="100" w:beforeAutospacing="1" w:after="100" w:afterAutospacing="1" w:line="240" w:lineRule="auto"/>
      <w:outlineLvl w:val="2"/>
    </w:pPr>
    <w:rPr>
      <w:rFonts w:eastAsia="Times New Roman" w:cs="Times New Roman"/>
      <w:b/>
      <w:bCs/>
      <w:sz w:val="24"/>
      <w:szCs w:val="27"/>
      <w:lang w:val="en-GB" w:eastAsia="en-GB"/>
    </w:rPr>
  </w:style>
  <w:style w:type="paragraph" w:styleId="Heading4">
    <w:name w:val="heading 4"/>
    <w:basedOn w:val="Heading3"/>
    <w:next w:val="Normal"/>
    <w:link w:val="Heading4Char"/>
    <w:uiPriority w:val="9"/>
    <w:unhideWhenUsed/>
    <w:qFormat/>
    <w:rsid w:val="00DF7FE2"/>
    <w:pPr>
      <w:keepNext/>
      <w:keepLines/>
      <w:spacing w:before="160" w:after="120"/>
      <w:outlineLvl w:val="3"/>
    </w:pPr>
    <w:rPr>
      <w:rFonts w:eastAsiaTheme="majorEastAsia" w:cstheme="majorBidi"/>
      <w:iCs/>
      <w:sz w:val="22"/>
    </w:rPr>
  </w:style>
  <w:style w:type="paragraph" w:styleId="Heading5">
    <w:name w:val="heading 5"/>
    <w:basedOn w:val="Normal"/>
    <w:next w:val="Normal"/>
    <w:link w:val="Heading5Char"/>
    <w:uiPriority w:val="9"/>
    <w:unhideWhenUsed/>
    <w:qFormat/>
    <w:rsid w:val="00C95051"/>
    <w:pPr>
      <w:keepNext/>
      <w:keepLines/>
      <w:spacing w:before="40" w:after="0"/>
      <w:jc w:val="both"/>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8D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C60D9"/>
    <w:rPr>
      <w:rFonts w:ascii="Times New Roman" w:hAnsi="Times New Roman" w:cs="Times New Roman"/>
      <w:b/>
      <w:bCs/>
      <w:sz w:val="26"/>
      <w:szCs w:val="36"/>
      <w:lang w:val="en-GB" w:eastAsia="en-GB"/>
    </w:rPr>
  </w:style>
  <w:style w:type="character" w:customStyle="1" w:styleId="Heading3Char">
    <w:name w:val="Heading 3 Char"/>
    <w:basedOn w:val="DefaultParagraphFont"/>
    <w:link w:val="Heading3"/>
    <w:uiPriority w:val="9"/>
    <w:rsid w:val="00B628D6"/>
    <w:rPr>
      <w:rFonts w:ascii="Times New Roman" w:hAnsi="Times New Roman" w:cs="Times New Roman"/>
      <w:b/>
      <w:bCs/>
      <w:sz w:val="24"/>
      <w:szCs w:val="27"/>
      <w:lang w:val="en-GB" w:eastAsia="en-GB"/>
    </w:rPr>
  </w:style>
  <w:style w:type="paragraph" w:styleId="Caption">
    <w:name w:val="caption"/>
    <w:basedOn w:val="Normal"/>
    <w:next w:val="Normal"/>
    <w:link w:val="CaptionChar"/>
    <w:autoRedefine/>
    <w:uiPriority w:val="35"/>
    <w:unhideWhenUsed/>
    <w:qFormat/>
    <w:rsid w:val="000718CA"/>
    <w:pPr>
      <w:spacing w:after="200" w:line="240" w:lineRule="auto"/>
      <w:jc w:val="center"/>
    </w:pPr>
    <w:rPr>
      <w:i/>
      <w:iCs/>
      <w:color w:val="404040" w:themeColor="text1" w:themeTint="BF"/>
      <w:sz w:val="18"/>
      <w:szCs w:val="18"/>
      <w:lang w:val="en-GB"/>
    </w:rPr>
  </w:style>
  <w:style w:type="paragraph" w:styleId="ListParagraph">
    <w:name w:val="List Paragraph"/>
    <w:basedOn w:val="Normal"/>
    <w:uiPriority w:val="34"/>
    <w:qFormat/>
    <w:rsid w:val="00FA2AB3"/>
    <w:pPr>
      <w:ind w:left="720"/>
      <w:contextualSpacing/>
    </w:pPr>
    <w:rPr>
      <w:lang w:val="en-GB"/>
    </w:rPr>
  </w:style>
  <w:style w:type="table" w:styleId="TableGrid">
    <w:name w:val="Table Grid"/>
    <w:basedOn w:val="TableNormal"/>
    <w:uiPriority w:val="39"/>
    <w:qFormat/>
    <w:rsid w:val="00FA2AB3"/>
    <w:pPr>
      <w:spacing w:after="0" w:line="240" w:lineRule="auto"/>
    </w:pPr>
    <w:rPr>
      <w:rFonts w:eastAsiaTheme="minorHAns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A2AB3"/>
    <w:rPr>
      <w:color w:val="0563C1" w:themeColor="hyperlink"/>
      <w:u w:val="single"/>
    </w:rPr>
  </w:style>
  <w:style w:type="character" w:styleId="CommentReference">
    <w:name w:val="annotation reference"/>
    <w:basedOn w:val="DefaultParagraphFont"/>
    <w:uiPriority w:val="99"/>
    <w:semiHidden/>
    <w:unhideWhenUsed/>
    <w:rsid w:val="00FA2AB3"/>
    <w:rPr>
      <w:sz w:val="16"/>
      <w:szCs w:val="16"/>
    </w:rPr>
  </w:style>
  <w:style w:type="paragraph" w:styleId="CommentText">
    <w:name w:val="annotation text"/>
    <w:basedOn w:val="Normal"/>
    <w:link w:val="CommentTextChar"/>
    <w:uiPriority w:val="99"/>
    <w:unhideWhenUsed/>
    <w:rsid w:val="00FA2AB3"/>
    <w:pPr>
      <w:spacing w:line="240" w:lineRule="auto"/>
    </w:pPr>
    <w:rPr>
      <w:szCs w:val="20"/>
    </w:rPr>
  </w:style>
  <w:style w:type="character" w:customStyle="1" w:styleId="CommentTextChar">
    <w:name w:val="Comment Text Char"/>
    <w:basedOn w:val="DefaultParagraphFont"/>
    <w:link w:val="CommentText"/>
    <w:uiPriority w:val="99"/>
    <w:rsid w:val="00FA2AB3"/>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FA2AB3"/>
    <w:rPr>
      <w:b/>
      <w:bCs/>
    </w:rPr>
  </w:style>
  <w:style w:type="character" w:customStyle="1" w:styleId="CommentSubjectChar">
    <w:name w:val="Comment Subject Char"/>
    <w:basedOn w:val="CommentTextChar"/>
    <w:link w:val="CommentSubject"/>
    <w:uiPriority w:val="99"/>
    <w:semiHidden/>
    <w:rsid w:val="00FA2AB3"/>
    <w:rPr>
      <w:rFonts w:eastAsiaTheme="minorHAnsi"/>
      <w:b/>
      <w:bCs/>
      <w:sz w:val="20"/>
      <w:szCs w:val="20"/>
    </w:rPr>
  </w:style>
  <w:style w:type="paragraph" w:styleId="BalloonText">
    <w:name w:val="Balloon Text"/>
    <w:basedOn w:val="Normal"/>
    <w:link w:val="BalloonTextChar"/>
    <w:uiPriority w:val="99"/>
    <w:semiHidden/>
    <w:unhideWhenUsed/>
    <w:rsid w:val="00FA2A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AB3"/>
    <w:rPr>
      <w:rFonts w:ascii="Segoe UI" w:eastAsiaTheme="minorHAnsi" w:hAnsi="Segoe UI" w:cs="Segoe UI"/>
      <w:sz w:val="18"/>
      <w:szCs w:val="18"/>
    </w:rPr>
  </w:style>
  <w:style w:type="character" w:styleId="EndnoteReference">
    <w:name w:val="endnote reference"/>
    <w:basedOn w:val="DefaultParagraphFont"/>
    <w:uiPriority w:val="99"/>
    <w:unhideWhenUsed/>
    <w:rsid w:val="00C56488"/>
    <w:rPr>
      <w:vertAlign w:val="superscript"/>
    </w:rPr>
  </w:style>
  <w:style w:type="paragraph" w:customStyle="1" w:styleId="EndNoteBibliographyTitle">
    <w:name w:val="EndNote Bibliography Title"/>
    <w:basedOn w:val="Normal"/>
    <w:link w:val="EndNoteBibliographyTitleChar"/>
    <w:rsid w:val="00C56488"/>
    <w:pPr>
      <w:spacing w:after="0"/>
      <w:jc w:val="center"/>
    </w:pPr>
    <w:rPr>
      <w:rFonts w:ascii="Calibri" w:hAnsi="Calibri" w:cs="Calibri"/>
      <w:noProof/>
      <w:sz w:val="22"/>
      <w:lang w:val="en-US"/>
    </w:rPr>
  </w:style>
  <w:style w:type="character" w:customStyle="1" w:styleId="EndNoteBibliographyTitleChar">
    <w:name w:val="EndNote Bibliography Title Char"/>
    <w:basedOn w:val="DefaultParagraphFont"/>
    <w:link w:val="EndNoteBibliographyTitle"/>
    <w:rsid w:val="00C56488"/>
    <w:rPr>
      <w:rFonts w:ascii="Calibri" w:eastAsiaTheme="minorHAnsi" w:hAnsi="Calibri" w:cs="Calibri"/>
      <w:noProof/>
      <w:lang w:val="en-US"/>
    </w:rPr>
  </w:style>
  <w:style w:type="paragraph" w:customStyle="1" w:styleId="EndNoteBibliography">
    <w:name w:val="EndNote Bibliography"/>
    <w:basedOn w:val="Normal"/>
    <w:link w:val="EndNoteBibliographyChar"/>
    <w:rsid w:val="00C56488"/>
    <w:pPr>
      <w:spacing w:line="240" w:lineRule="auto"/>
    </w:pPr>
    <w:rPr>
      <w:rFonts w:ascii="Calibri" w:hAnsi="Calibri" w:cs="Calibri"/>
      <w:noProof/>
      <w:sz w:val="22"/>
      <w:lang w:val="en-US"/>
    </w:rPr>
  </w:style>
  <w:style w:type="character" w:customStyle="1" w:styleId="EndNoteBibliographyChar">
    <w:name w:val="EndNote Bibliography Char"/>
    <w:basedOn w:val="DefaultParagraphFont"/>
    <w:link w:val="EndNoteBibliography"/>
    <w:rsid w:val="00C56488"/>
    <w:rPr>
      <w:rFonts w:ascii="Calibri" w:eastAsiaTheme="minorHAnsi" w:hAnsi="Calibri" w:cs="Calibri"/>
      <w:noProof/>
      <w:lang w:val="en-US"/>
    </w:rPr>
  </w:style>
  <w:style w:type="character" w:styleId="UnresolvedMention">
    <w:name w:val="Unresolved Mention"/>
    <w:basedOn w:val="DefaultParagraphFont"/>
    <w:uiPriority w:val="99"/>
    <w:semiHidden/>
    <w:unhideWhenUsed/>
    <w:rsid w:val="00C56488"/>
    <w:rPr>
      <w:color w:val="605E5C"/>
      <w:shd w:val="clear" w:color="auto" w:fill="E1DFDD"/>
    </w:rPr>
  </w:style>
  <w:style w:type="paragraph" w:styleId="NoSpacing">
    <w:name w:val="No Spacing"/>
    <w:link w:val="NoSpacingChar"/>
    <w:uiPriority w:val="1"/>
    <w:qFormat/>
    <w:rsid w:val="00805F33"/>
    <w:pPr>
      <w:spacing w:after="0" w:line="240" w:lineRule="auto"/>
    </w:pPr>
    <w:rPr>
      <w:rFonts w:eastAsiaTheme="minorHAnsi"/>
      <w:lang w:val="en-GB"/>
    </w:rPr>
  </w:style>
  <w:style w:type="character" w:customStyle="1" w:styleId="NoSpacingChar">
    <w:name w:val="No Spacing Char"/>
    <w:link w:val="NoSpacing"/>
    <w:uiPriority w:val="1"/>
    <w:rsid w:val="00805F33"/>
    <w:rPr>
      <w:rFonts w:eastAsiaTheme="minorHAnsi"/>
      <w:lang w:val="en-GB"/>
    </w:rPr>
  </w:style>
  <w:style w:type="paragraph" w:styleId="Title">
    <w:name w:val="Title"/>
    <w:basedOn w:val="Normal"/>
    <w:next w:val="Normal"/>
    <w:link w:val="TitleChar"/>
    <w:uiPriority w:val="10"/>
    <w:qFormat/>
    <w:rsid w:val="00B628D6"/>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628D6"/>
    <w:rPr>
      <w:rFonts w:ascii="Times New Roman" w:eastAsiaTheme="majorEastAsia" w:hAnsi="Times New Roman" w:cstheme="majorBidi"/>
      <w:spacing w:val="-10"/>
      <w:kern w:val="28"/>
      <w:sz w:val="56"/>
      <w:szCs w:val="56"/>
    </w:rPr>
  </w:style>
  <w:style w:type="paragraph" w:styleId="Bibliography">
    <w:name w:val="Bibliography"/>
    <w:basedOn w:val="Normal"/>
    <w:next w:val="Normal"/>
    <w:uiPriority w:val="37"/>
    <w:unhideWhenUsed/>
    <w:rsid w:val="00B07F31"/>
  </w:style>
  <w:style w:type="paragraph" w:customStyle="1" w:styleId="Default">
    <w:name w:val="Default"/>
    <w:rsid w:val="00B07F31"/>
    <w:pPr>
      <w:autoSpaceDE w:val="0"/>
      <w:autoSpaceDN w:val="0"/>
      <w:adjustRightInd w:val="0"/>
      <w:spacing w:after="0" w:line="240" w:lineRule="auto"/>
    </w:pPr>
    <w:rPr>
      <w:rFonts w:ascii="Shaker 2 Lancet Regular" w:eastAsiaTheme="minorHAnsi" w:hAnsi="Shaker 2 Lancet Regular" w:cs="Shaker 2 Lancet Regular"/>
      <w:color w:val="000000"/>
      <w:sz w:val="24"/>
      <w:szCs w:val="24"/>
      <w:lang w:val="en-GB"/>
    </w:rPr>
  </w:style>
  <w:style w:type="paragraph" w:styleId="Header">
    <w:name w:val="header"/>
    <w:basedOn w:val="Normal"/>
    <w:link w:val="HeaderChar"/>
    <w:uiPriority w:val="99"/>
    <w:unhideWhenUsed/>
    <w:rsid w:val="00B07F31"/>
    <w:pPr>
      <w:tabs>
        <w:tab w:val="center" w:pos="4819"/>
        <w:tab w:val="right" w:pos="9638"/>
      </w:tabs>
      <w:spacing w:after="0" w:line="240" w:lineRule="auto"/>
    </w:pPr>
    <w:rPr>
      <w:lang w:val="en-GB"/>
    </w:rPr>
  </w:style>
  <w:style w:type="character" w:customStyle="1" w:styleId="HeaderChar">
    <w:name w:val="Header Char"/>
    <w:basedOn w:val="DefaultParagraphFont"/>
    <w:link w:val="Header"/>
    <w:uiPriority w:val="99"/>
    <w:rsid w:val="00B07F31"/>
    <w:rPr>
      <w:rFonts w:eastAsiaTheme="minorHAnsi"/>
      <w:lang w:val="en-GB"/>
    </w:rPr>
  </w:style>
  <w:style w:type="paragraph" w:styleId="Footer">
    <w:name w:val="footer"/>
    <w:basedOn w:val="Normal"/>
    <w:link w:val="FooterChar"/>
    <w:uiPriority w:val="99"/>
    <w:unhideWhenUsed/>
    <w:rsid w:val="00B07F31"/>
    <w:pPr>
      <w:tabs>
        <w:tab w:val="center" w:pos="4819"/>
        <w:tab w:val="right" w:pos="9638"/>
      </w:tabs>
      <w:spacing w:after="0" w:line="240" w:lineRule="auto"/>
    </w:pPr>
    <w:rPr>
      <w:lang w:val="en-GB"/>
    </w:rPr>
  </w:style>
  <w:style w:type="character" w:customStyle="1" w:styleId="FooterChar">
    <w:name w:val="Footer Char"/>
    <w:basedOn w:val="DefaultParagraphFont"/>
    <w:link w:val="Footer"/>
    <w:uiPriority w:val="99"/>
    <w:rsid w:val="00B07F31"/>
    <w:rPr>
      <w:rFonts w:eastAsiaTheme="minorHAnsi"/>
      <w:lang w:val="en-GB"/>
    </w:rPr>
  </w:style>
  <w:style w:type="paragraph" w:styleId="FootnoteText">
    <w:name w:val="footnote text"/>
    <w:basedOn w:val="Normal"/>
    <w:link w:val="FootnoteTextChar"/>
    <w:uiPriority w:val="99"/>
    <w:unhideWhenUsed/>
    <w:rsid w:val="00B07F31"/>
    <w:pPr>
      <w:spacing w:after="0" w:line="240" w:lineRule="auto"/>
    </w:pPr>
    <w:rPr>
      <w:szCs w:val="20"/>
      <w:lang w:val="en-GB"/>
    </w:rPr>
  </w:style>
  <w:style w:type="character" w:customStyle="1" w:styleId="FootnoteTextChar">
    <w:name w:val="Footnote Text Char"/>
    <w:basedOn w:val="DefaultParagraphFont"/>
    <w:link w:val="FootnoteText"/>
    <w:uiPriority w:val="99"/>
    <w:rsid w:val="00B07F31"/>
    <w:rPr>
      <w:rFonts w:eastAsiaTheme="minorHAnsi"/>
      <w:sz w:val="20"/>
      <w:szCs w:val="20"/>
      <w:lang w:val="en-GB"/>
    </w:rPr>
  </w:style>
  <w:style w:type="character" w:styleId="FootnoteReference">
    <w:name w:val="footnote reference"/>
    <w:basedOn w:val="DefaultParagraphFont"/>
    <w:uiPriority w:val="99"/>
    <w:unhideWhenUsed/>
    <w:rsid w:val="00B07F31"/>
    <w:rPr>
      <w:vertAlign w:val="superscript"/>
    </w:rPr>
  </w:style>
  <w:style w:type="character" w:customStyle="1" w:styleId="apple-converted-space">
    <w:name w:val="apple-converted-space"/>
    <w:basedOn w:val="DefaultParagraphFont"/>
    <w:rsid w:val="00B07F31"/>
  </w:style>
  <w:style w:type="character" w:styleId="PlaceholderText">
    <w:name w:val="Placeholder Text"/>
    <w:basedOn w:val="DefaultParagraphFont"/>
    <w:uiPriority w:val="99"/>
    <w:semiHidden/>
    <w:rsid w:val="00B07F31"/>
    <w:rPr>
      <w:color w:val="808080"/>
    </w:rPr>
  </w:style>
  <w:style w:type="paragraph" w:customStyle="1" w:styleId="xmsonormal">
    <w:name w:val="x_msonormal"/>
    <w:basedOn w:val="Normal"/>
    <w:rsid w:val="00B07F31"/>
    <w:pPr>
      <w:spacing w:before="100" w:beforeAutospacing="1" w:after="100" w:afterAutospacing="1" w:line="240" w:lineRule="auto"/>
    </w:pPr>
    <w:rPr>
      <w:rFonts w:eastAsia="Times New Roman" w:cs="Times New Roman"/>
      <w:sz w:val="24"/>
      <w:szCs w:val="24"/>
      <w:lang w:eastAsia="en-AU"/>
    </w:rPr>
  </w:style>
  <w:style w:type="character" w:customStyle="1" w:styleId="A6">
    <w:name w:val="A6"/>
    <w:uiPriority w:val="99"/>
    <w:rsid w:val="00B07F31"/>
    <w:rPr>
      <w:rFonts w:cs="ScalaLancetPro"/>
      <w:color w:val="000000"/>
      <w:sz w:val="9"/>
      <w:szCs w:val="9"/>
    </w:rPr>
  </w:style>
  <w:style w:type="character" w:styleId="Mention">
    <w:name w:val="Mention"/>
    <w:basedOn w:val="DefaultParagraphFont"/>
    <w:uiPriority w:val="99"/>
    <w:unhideWhenUsed/>
    <w:rsid w:val="00B07F31"/>
    <w:rPr>
      <w:color w:val="2B579A"/>
      <w:shd w:val="clear" w:color="auto" w:fill="E6E6E6"/>
    </w:rPr>
  </w:style>
  <w:style w:type="table" w:customStyle="1" w:styleId="TableGrid1">
    <w:name w:val="Table Grid1"/>
    <w:basedOn w:val="TableNormal"/>
    <w:next w:val="TableGrid"/>
    <w:uiPriority w:val="39"/>
    <w:rsid w:val="00B07F31"/>
    <w:pPr>
      <w:spacing w:after="0" w:line="240" w:lineRule="auto"/>
    </w:pPr>
    <w:rPr>
      <w:rFonts w:eastAsiaTheme="minorHAns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yiv6883345849msonormal">
    <w:name w:val="yiv6883345849msonormal"/>
    <w:basedOn w:val="Normal"/>
    <w:rsid w:val="00B07F31"/>
    <w:pPr>
      <w:spacing w:before="100" w:beforeAutospacing="1" w:after="100" w:afterAutospacing="1" w:line="240" w:lineRule="auto"/>
    </w:pPr>
    <w:rPr>
      <w:rFonts w:eastAsia="Times New Roman" w:cs="Times New Roman"/>
      <w:sz w:val="24"/>
      <w:szCs w:val="24"/>
      <w:lang w:val="en-NZ" w:eastAsia="en-NZ"/>
    </w:rPr>
  </w:style>
  <w:style w:type="paragraph" w:styleId="NormalWeb">
    <w:name w:val="Normal (Web)"/>
    <w:basedOn w:val="Normal"/>
    <w:link w:val="NormalWebChar"/>
    <w:uiPriority w:val="99"/>
    <w:unhideWhenUsed/>
    <w:rsid w:val="00B07F31"/>
    <w:pPr>
      <w:spacing w:before="100" w:beforeAutospacing="1" w:after="100" w:afterAutospacing="1" w:line="240" w:lineRule="auto"/>
    </w:pPr>
    <w:rPr>
      <w:rFonts w:eastAsia="Times New Roman" w:cs="Times New Roman"/>
      <w:sz w:val="24"/>
      <w:szCs w:val="24"/>
      <w:lang w:val="en-GB" w:eastAsia="en-GB"/>
    </w:rPr>
  </w:style>
  <w:style w:type="character" w:customStyle="1" w:styleId="NormalWebChar">
    <w:name w:val="Normal (Web) Char"/>
    <w:basedOn w:val="DefaultParagraphFont"/>
    <w:link w:val="NormalWeb"/>
    <w:uiPriority w:val="99"/>
    <w:rsid w:val="00B07F31"/>
    <w:rPr>
      <w:rFonts w:ascii="Times New Roman" w:hAnsi="Times New Roman" w:cs="Times New Roman"/>
      <w:sz w:val="24"/>
      <w:szCs w:val="24"/>
      <w:lang w:val="en-GB" w:eastAsia="en-GB"/>
    </w:rPr>
  </w:style>
  <w:style w:type="character" w:styleId="FollowedHyperlink">
    <w:name w:val="FollowedHyperlink"/>
    <w:basedOn w:val="DefaultParagraphFont"/>
    <w:uiPriority w:val="99"/>
    <w:semiHidden/>
    <w:unhideWhenUsed/>
    <w:rsid w:val="00B07F31"/>
    <w:rPr>
      <w:color w:val="954F72" w:themeColor="followedHyperlink"/>
      <w:u w:val="single"/>
    </w:rPr>
  </w:style>
  <w:style w:type="paragraph" w:customStyle="1" w:styleId="paperpara">
    <w:name w:val="paper para"/>
    <w:basedOn w:val="Normal"/>
    <w:autoRedefine/>
    <w:qFormat/>
    <w:rsid w:val="002624FA"/>
    <w:pPr>
      <w:spacing w:before="360" w:after="0" w:line="240" w:lineRule="auto"/>
    </w:pPr>
    <w:rPr>
      <w:i/>
      <w:lang w:val="en-GB"/>
    </w:rPr>
  </w:style>
  <w:style w:type="paragraph" w:customStyle="1" w:styleId="Lancetpara">
    <w:name w:val="Lancet para"/>
    <w:basedOn w:val="Normal"/>
    <w:autoRedefine/>
    <w:qFormat/>
    <w:rsid w:val="005F0B53"/>
    <w:pPr>
      <w:spacing w:before="360" w:after="0" w:line="240" w:lineRule="auto"/>
    </w:pPr>
    <w:rPr>
      <w:rFonts w:ascii="Cambria" w:hAnsi="Cambria" w:cs="Times New Roman"/>
      <w:sz w:val="24"/>
      <w:szCs w:val="24"/>
      <w:lang w:val="en-US"/>
    </w:rPr>
  </w:style>
  <w:style w:type="paragraph" w:styleId="EndnoteText">
    <w:name w:val="endnote text"/>
    <w:basedOn w:val="Normal"/>
    <w:link w:val="EndnoteTextChar"/>
    <w:uiPriority w:val="99"/>
    <w:unhideWhenUsed/>
    <w:rsid w:val="005F0B53"/>
    <w:pPr>
      <w:spacing w:after="0" w:line="240" w:lineRule="auto"/>
    </w:pPr>
    <w:rPr>
      <w:rFonts w:eastAsiaTheme="minorEastAsia"/>
      <w:sz w:val="24"/>
      <w:szCs w:val="24"/>
      <w:lang w:val="en-GB"/>
    </w:rPr>
  </w:style>
  <w:style w:type="character" w:customStyle="1" w:styleId="EndnoteTextChar">
    <w:name w:val="Endnote Text Char"/>
    <w:basedOn w:val="DefaultParagraphFont"/>
    <w:link w:val="EndnoteText"/>
    <w:uiPriority w:val="99"/>
    <w:rsid w:val="005F0B53"/>
    <w:rPr>
      <w:rFonts w:eastAsiaTheme="minorEastAsia"/>
      <w:sz w:val="24"/>
      <w:szCs w:val="24"/>
      <w:lang w:val="en-GB"/>
    </w:rPr>
  </w:style>
  <w:style w:type="character" w:styleId="Strong">
    <w:name w:val="Strong"/>
    <w:basedOn w:val="DefaultParagraphFont"/>
    <w:uiPriority w:val="22"/>
    <w:qFormat/>
    <w:rsid w:val="005F0B53"/>
    <w:rPr>
      <w:b/>
      <w:bCs/>
    </w:rPr>
  </w:style>
  <w:style w:type="character" w:styleId="IntenseEmphasis">
    <w:name w:val="Intense Emphasis"/>
    <w:basedOn w:val="DefaultParagraphFont"/>
    <w:uiPriority w:val="21"/>
    <w:qFormat/>
    <w:rsid w:val="005F0B53"/>
    <w:rPr>
      <w:i/>
      <w:iCs/>
      <w:color w:val="4472C4" w:themeColor="accent1"/>
    </w:rPr>
  </w:style>
  <w:style w:type="paragraph" w:customStyle="1" w:styleId="Heading">
    <w:name w:val="Heading"/>
    <w:basedOn w:val="Heading1"/>
    <w:qFormat/>
    <w:rsid w:val="005F0B53"/>
    <w:pPr>
      <w:spacing w:line="240" w:lineRule="auto"/>
    </w:pPr>
    <w:rPr>
      <w:rFonts w:ascii="Helvetica Neue" w:hAnsi="Helvetica Neue"/>
      <w:b w:val="0"/>
      <w:sz w:val="28"/>
      <w:lang w:val="en-GB"/>
    </w:rPr>
  </w:style>
  <w:style w:type="table" w:styleId="GridTable4">
    <w:name w:val="Grid Table 4"/>
    <w:basedOn w:val="TableNormal"/>
    <w:uiPriority w:val="49"/>
    <w:rsid w:val="005F0B53"/>
    <w:pPr>
      <w:spacing w:after="0" w:line="240" w:lineRule="auto"/>
    </w:pPr>
    <w:rPr>
      <w:rFonts w:ascii="Times New Roman" w:eastAsia="SimSun" w:hAnsi="Times New Roman" w:cs="Times New Roman"/>
      <w:sz w:val="20"/>
      <w:szCs w:val="20"/>
      <w:lang w:val="en-CA" w:eastAsia="zh-C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1">
    <w:name w:val="Plain Table 11"/>
    <w:basedOn w:val="TableNormal"/>
    <w:uiPriority w:val="41"/>
    <w:rsid w:val="005F0B53"/>
    <w:pPr>
      <w:spacing w:after="0" w:line="240" w:lineRule="auto"/>
    </w:pPr>
    <w:rPr>
      <w:rFonts w:eastAsiaTheme="minorHAnsi"/>
      <w:lang w:val="en-GB"/>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5F0B53"/>
    <w:pPr>
      <w:spacing w:after="0" w:line="240" w:lineRule="auto"/>
    </w:pPr>
    <w:rPr>
      <w:rFonts w:eastAsiaTheme="minorHAnsi"/>
      <w:lang w:val="en-GB"/>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E85964"/>
    <w:pPr>
      <w:spacing w:after="0" w:line="240" w:lineRule="auto"/>
    </w:pPr>
    <w:rPr>
      <w:rFonts w:eastAsiaTheme="minorHAnsi"/>
    </w:rPr>
  </w:style>
  <w:style w:type="paragraph" w:styleId="Quote">
    <w:name w:val="Quote"/>
    <w:basedOn w:val="Normal"/>
    <w:next w:val="Normal"/>
    <w:link w:val="QuoteChar"/>
    <w:uiPriority w:val="29"/>
    <w:qFormat/>
    <w:rsid w:val="002E059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E0593"/>
    <w:rPr>
      <w:rFonts w:eastAsiaTheme="minorHAnsi"/>
      <w:i/>
      <w:iCs/>
      <w:color w:val="404040" w:themeColor="text1" w:themeTint="BF"/>
    </w:rPr>
  </w:style>
  <w:style w:type="paragraph" w:customStyle="1" w:styleId="Methodsheadings">
    <w:name w:val="Methods headings"/>
    <w:basedOn w:val="Normal"/>
    <w:link w:val="MethodsheadingsChar"/>
    <w:qFormat/>
    <w:rsid w:val="00532A2A"/>
    <w:pPr>
      <w:spacing w:line="240" w:lineRule="auto"/>
    </w:pPr>
    <w:rPr>
      <w:b/>
    </w:rPr>
  </w:style>
  <w:style w:type="table" w:customStyle="1" w:styleId="GridTable5Dark-Accent31">
    <w:name w:val="Grid Table 5 Dark - Accent 31"/>
    <w:basedOn w:val="TableNormal"/>
    <w:uiPriority w:val="50"/>
    <w:rsid w:val="00697A30"/>
    <w:pPr>
      <w:spacing w:after="0" w:line="240" w:lineRule="auto"/>
    </w:pPr>
    <w:rPr>
      <w:rFonts w:eastAsiaTheme="minorHAnsi"/>
      <w:sz w:val="24"/>
      <w:szCs w:val="24"/>
      <w:lang w:val="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MethodsheadingsChar">
    <w:name w:val="Methods headings Char"/>
    <w:basedOn w:val="DefaultParagraphFont"/>
    <w:link w:val="Methodsheadings"/>
    <w:rsid w:val="00532A2A"/>
    <w:rPr>
      <w:rFonts w:ascii="Times New Roman" w:eastAsiaTheme="minorHAnsi" w:hAnsi="Times New Roman"/>
      <w:b/>
      <w:sz w:val="20"/>
    </w:rPr>
  </w:style>
  <w:style w:type="character" w:customStyle="1" w:styleId="Heading4Char">
    <w:name w:val="Heading 4 Char"/>
    <w:basedOn w:val="DefaultParagraphFont"/>
    <w:link w:val="Heading4"/>
    <w:uiPriority w:val="9"/>
    <w:rsid w:val="00DF7FE2"/>
    <w:rPr>
      <w:rFonts w:ascii="Times New Roman" w:eastAsiaTheme="majorEastAsia" w:hAnsi="Times New Roman" w:cstheme="majorBidi"/>
      <w:b/>
      <w:bCs/>
      <w:iCs/>
      <w:szCs w:val="27"/>
      <w:lang w:val="en-GB" w:eastAsia="en-GB"/>
    </w:rPr>
  </w:style>
  <w:style w:type="numbering" w:customStyle="1" w:styleId="NoList1">
    <w:name w:val="No List1"/>
    <w:next w:val="NoList"/>
    <w:uiPriority w:val="99"/>
    <w:semiHidden/>
    <w:unhideWhenUsed/>
    <w:rsid w:val="00E26678"/>
  </w:style>
  <w:style w:type="table" w:customStyle="1" w:styleId="TableGrid2">
    <w:name w:val="Table Grid2"/>
    <w:basedOn w:val="TableNormal"/>
    <w:next w:val="TableGrid"/>
    <w:uiPriority w:val="59"/>
    <w:rsid w:val="00E26678"/>
    <w:pPr>
      <w:spacing w:after="0" w:line="240" w:lineRule="auto"/>
    </w:pPr>
    <w:rPr>
      <w:rFonts w:eastAsiaTheme="minorHAns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E26678"/>
    <w:rPr>
      <w:color w:val="605E5C"/>
      <w:shd w:val="clear" w:color="auto" w:fill="E1DFDD"/>
    </w:rPr>
  </w:style>
  <w:style w:type="character" w:customStyle="1" w:styleId="Mention1">
    <w:name w:val="Mention1"/>
    <w:basedOn w:val="DefaultParagraphFont"/>
    <w:uiPriority w:val="99"/>
    <w:unhideWhenUsed/>
    <w:rsid w:val="00E26678"/>
    <w:rPr>
      <w:color w:val="2B579A"/>
      <w:shd w:val="clear" w:color="auto" w:fill="E6E6E6"/>
    </w:rPr>
  </w:style>
  <w:style w:type="table" w:customStyle="1" w:styleId="TableGrid11">
    <w:name w:val="Table Grid11"/>
    <w:basedOn w:val="TableNormal"/>
    <w:next w:val="TableGrid"/>
    <w:uiPriority w:val="39"/>
    <w:rsid w:val="00E26678"/>
    <w:pPr>
      <w:spacing w:after="0" w:line="240" w:lineRule="auto"/>
    </w:pPr>
    <w:rPr>
      <w:rFonts w:eastAsiaTheme="minorHAns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next w:val="GridTable4"/>
    <w:uiPriority w:val="49"/>
    <w:rsid w:val="00E26678"/>
    <w:pPr>
      <w:spacing w:after="0" w:line="240" w:lineRule="auto"/>
    </w:pPr>
    <w:rPr>
      <w:rFonts w:ascii="Times New Roman" w:eastAsia="SimSun" w:hAnsi="Times New Roman" w:cs="Times New Roman"/>
      <w:sz w:val="20"/>
      <w:szCs w:val="20"/>
      <w:lang w:val="en-CA" w:eastAsia="zh-C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11">
    <w:name w:val="Plain Table 111"/>
    <w:basedOn w:val="TableNormal"/>
    <w:uiPriority w:val="41"/>
    <w:rsid w:val="00E26678"/>
    <w:pPr>
      <w:spacing w:after="0" w:line="240" w:lineRule="auto"/>
    </w:pPr>
    <w:rPr>
      <w:rFonts w:eastAsiaTheme="minorHAnsi"/>
      <w:lang w:val="en-GB"/>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2">
    <w:name w:val="Plain Table 12"/>
    <w:basedOn w:val="TableNormal"/>
    <w:next w:val="PlainTable1"/>
    <w:uiPriority w:val="41"/>
    <w:rsid w:val="00E26678"/>
    <w:pPr>
      <w:spacing w:after="0" w:line="240" w:lineRule="auto"/>
    </w:pPr>
    <w:rPr>
      <w:rFonts w:eastAsiaTheme="minorHAnsi"/>
      <w:lang w:val="en-GB"/>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aptionChar">
    <w:name w:val="Caption Char"/>
    <w:basedOn w:val="DefaultParagraphFont"/>
    <w:link w:val="Caption"/>
    <w:uiPriority w:val="35"/>
    <w:rsid w:val="000718CA"/>
    <w:rPr>
      <w:rFonts w:ascii="Times New Roman" w:eastAsiaTheme="minorHAnsi" w:hAnsi="Times New Roman"/>
      <w:i/>
      <w:iCs/>
      <w:color w:val="404040" w:themeColor="text1" w:themeTint="BF"/>
      <w:sz w:val="18"/>
      <w:szCs w:val="18"/>
      <w:lang w:val="en-GB"/>
    </w:rPr>
  </w:style>
  <w:style w:type="character" w:customStyle="1" w:styleId="CommentSubjectChar1">
    <w:name w:val="Comment Subject Char1"/>
    <w:basedOn w:val="CommentTextChar"/>
    <w:uiPriority w:val="99"/>
    <w:semiHidden/>
    <w:rsid w:val="002624FA"/>
    <w:rPr>
      <w:rFonts w:eastAsiaTheme="minorHAnsi"/>
      <w:b/>
      <w:bCs/>
      <w:sz w:val="20"/>
      <w:szCs w:val="20"/>
      <w:lang w:val="en-AU"/>
    </w:rPr>
  </w:style>
  <w:style w:type="paragraph" w:customStyle="1" w:styleId="Captionnotcaption">
    <w:name w:val="Caption not caption"/>
    <w:basedOn w:val="Caption"/>
    <w:link w:val="CaptionnotcaptionChar"/>
    <w:qFormat/>
    <w:rsid w:val="00BC14D0"/>
    <w:pPr>
      <w:jc w:val="both"/>
    </w:pPr>
    <w:rPr>
      <w:color w:val="44546A" w:themeColor="text2"/>
    </w:rPr>
  </w:style>
  <w:style w:type="character" w:customStyle="1" w:styleId="CaptionnotcaptionChar">
    <w:name w:val="Caption not caption Char"/>
    <w:basedOn w:val="CaptionChar"/>
    <w:link w:val="Captionnotcaption"/>
    <w:rsid w:val="00BC14D0"/>
    <w:rPr>
      <w:rFonts w:ascii="Times New Roman" w:eastAsiaTheme="minorHAnsi" w:hAnsi="Times New Roman"/>
      <w:i/>
      <w:iCs/>
      <w:color w:val="44546A" w:themeColor="text2"/>
      <w:sz w:val="18"/>
      <w:szCs w:val="18"/>
      <w:lang w:val="en-GB"/>
    </w:rPr>
  </w:style>
  <w:style w:type="table" w:styleId="PlainTable4">
    <w:name w:val="Plain Table 4"/>
    <w:basedOn w:val="TableNormal"/>
    <w:uiPriority w:val="44"/>
    <w:rsid w:val="00D8320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5Char">
    <w:name w:val="Heading 5 Char"/>
    <w:basedOn w:val="DefaultParagraphFont"/>
    <w:link w:val="Heading5"/>
    <w:uiPriority w:val="9"/>
    <w:rsid w:val="00C95051"/>
    <w:rPr>
      <w:rFonts w:asciiTheme="majorHAnsi" w:eastAsiaTheme="majorEastAsia" w:hAnsiTheme="majorHAnsi" w:cstheme="majorBidi"/>
      <w:color w:val="2F5496" w:themeColor="accent1" w:themeShade="BF"/>
      <w:sz w:val="20"/>
    </w:rPr>
  </w:style>
  <w:style w:type="paragraph" w:styleId="TOC1">
    <w:name w:val="toc 1"/>
    <w:basedOn w:val="NoSpacing"/>
    <w:next w:val="NoSpacing"/>
    <w:autoRedefine/>
    <w:uiPriority w:val="39"/>
    <w:unhideWhenUsed/>
    <w:rsid w:val="00C95051"/>
    <w:rPr>
      <w:rFonts w:ascii="Times New Roman" w:hAnsi="Times New Roman"/>
      <w:sz w:val="20"/>
    </w:rPr>
  </w:style>
  <w:style w:type="paragraph" w:styleId="TOC2">
    <w:name w:val="toc 2"/>
    <w:basedOn w:val="NoSpacing"/>
    <w:next w:val="NoSpacing"/>
    <w:autoRedefine/>
    <w:uiPriority w:val="39"/>
    <w:unhideWhenUsed/>
    <w:rsid w:val="00C95051"/>
    <w:pPr>
      <w:ind w:left="200"/>
    </w:pPr>
    <w:rPr>
      <w:rFonts w:ascii="Times New Roman" w:hAnsi="Times New Roman"/>
      <w:sz w:val="20"/>
    </w:rPr>
  </w:style>
  <w:style w:type="paragraph" w:styleId="TOC3">
    <w:name w:val="toc 3"/>
    <w:basedOn w:val="NoSpacing"/>
    <w:next w:val="NoSpacing"/>
    <w:autoRedefine/>
    <w:uiPriority w:val="39"/>
    <w:unhideWhenUsed/>
    <w:rsid w:val="00C95051"/>
    <w:pPr>
      <w:ind w:left="400"/>
    </w:pPr>
    <w:rPr>
      <w:rFonts w:ascii="Times New Roman" w:hAnsi="Times New Roman"/>
      <w:sz w:val="20"/>
    </w:rPr>
  </w:style>
  <w:style w:type="paragraph" w:styleId="TOC4">
    <w:name w:val="toc 4"/>
    <w:basedOn w:val="NoSpacing"/>
    <w:next w:val="NoSpacing"/>
    <w:autoRedefine/>
    <w:uiPriority w:val="39"/>
    <w:semiHidden/>
    <w:unhideWhenUsed/>
    <w:rsid w:val="00C95051"/>
    <w:pPr>
      <w:ind w:left="600"/>
    </w:pPr>
    <w:rPr>
      <w:rFonts w:ascii="Times New Roman" w:hAnsi="Times New Roman"/>
      <w:sz w:val="20"/>
    </w:rPr>
  </w:style>
  <w:style w:type="paragraph" w:styleId="TOC5">
    <w:name w:val="toc 5"/>
    <w:basedOn w:val="NoSpacing"/>
    <w:next w:val="NoSpacing"/>
    <w:autoRedefine/>
    <w:uiPriority w:val="39"/>
    <w:semiHidden/>
    <w:unhideWhenUsed/>
    <w:rsid w:val="00C95051"/>
    <w:pPr>
      <w:ind w:left="800"/>
    </w:pPr>
    <w:rPr>
      <w:rFonts w:ascii="Times New Roman" w:hAnsi="Times New Roman"/>
      <w:sz w:val="20"/>
    </w:rPr>
  </w:style>
  <w:style w:type="paragraph" w:styleId="TOC6">
    <w:name w:val="toc 6"/>
    <w:basedOn w:val="NoSpacing"/>
    <w:next w:val="NoSpacing"/>
    <w:autoRedefine/>
    <w:uiPriority w:val="39"/>
    <w:semiHidden/>
    <w:unhideWhenUsed/>
    <w:rsid w:val="00C95051"/>
    <w:pPr>
      <w:ind w:left="1000"/>
    </w:pPr>
    <w:rPr>
      <w:rFonts w:ascii="Times New Roman" w:hAnsi="Times New Roman"/>
      <w:sz w:val="20"/>
    </w:rPr>
  </w:style>
  <w:style w:type="paragraph" w:styleId="TOC7">
    <w:name w:val="toc 7"/>
    <w:basedOn w:val="NoSpacing"/>
    <w:next w:val="NoSpacing"/>
    <w:autoRedefine/>
    <w:uiPriority w:val="39"/>
    <w:semiHidden/>
    <w:unhideWhenUsed/>
    <w:rsid w:val="00C95051"/>
    <w:pPr>
      <w:ind w:left="1200"/>
    </w:pPr>
    <w:rPr>
      <w:rFonts w:ascii="Times New Roman" w:hAnsi="Times New Roman"/>
      <w:sz w:val="20"/>
    </w:rPr>
  </w:style>
  <w:style w:type="paragraph" w:styleId="TOC8">
    <w:name w:val="toc 8"/>
    <w:basedOn w:val="NoSpacing"/>
    <w:next w:val="NoSpacing"/>
    <w:autoRedefine/>
    <w:uiPriority w:val="39"/>
    <w:semiHidden/>
    <w:unhideWhenUsed/>
    <w:rsid w:val="00C95051"/>
    <w:pPr>
      <w:ind w:left="1400"/>
    </w:pPr>
    <w:rPr>
      <w:rFonts w:ascii="Times New Roman" w:hAnsi="Times New Roman"/>
      <w:sz w:val="20"/>
    </w:rPr>
  </w:style>
  <w:style w:type="paragraph" w:styleId="TOC9">
    <w:name w:val="toc 9"/>
    <w:basedOn w:val="NoSpacing"/>
    <w:next w:val="NoSpacing"/>
    <w:autoRedefine/>
    <w:uiPriority w:val="39"/>
    <w:semiHidden/>
    <w:unhideWhenUsed/>
    <w:rsid w:val="00C95051"/>
    <w:pPr>
      <w:ind w:left="1600"/>
    </w:pPr>
    <w:rPr>
      <w:rFonts w:ascii="Times New Roman" w:hAnsi="Times New Roman"/>
      <w:sz w:val="20"/>
    </w:rPr>
  </w:style>
  <w:style w:type="character" w:customStyle="1" w:styleId="UnresolvedMention2">
    <w:name w:val="Unresolved Mention2"/>
    <w:basedOn w:val="DefaultParagraphFont"/>
    <w:uiPriority w:val="99"/>
    <w:semiHidden/>
    <w:unhideWhenUsed/>
    <w:rsid w:val="00C95051"/>
    <w:rPr>
      <w:color w:val="605E5C"/>
      <w:shd w:val="clear" w:color="auto" w:fill="E1DFDD"/>
    </w:rPr>
  </w:style>
  <w:style w:type="paragraph" w:styleId="Subtitle">
    <w:name w:val="Subtitle"/>
    <w:basedOn w:val="Normal"/>
    <w:next w:val="Normal"/>
    <w:link w:val="SubtitleChar"/>
    <w:uiPriority w:val="11"/>
    <w:rsid w:val="00C95051"/>
    <w:pPr>
      <w:numPr>
        <w:ilvl w:val="1"/>
      </w:numPr>
      <w:jc w:val="both"/>
    </w:pPr>
    <w:rPr>
      <w:rFonts w:eastAsiaTheme="minorEastAsia"/>
      <w:color w:val="000000" w:themeColor="text1"/>
      <w:spacing w:val="15"/>
      <w:sz w:val="22"/>
    </w:rPr>
  </w:style>
  <w:style w:type="character" w:customStyle="1" w:styleId="SubtitleChar">
    <w:name w:val="Subtitle Char"/>
    <w:basedOn w:val="DefaultParagraphFont"/>
    <w:link w:val="Subtitle"/>
    <w:uiPriority w:val="11"/>
    <w:rsid w:val="00C95051"/>
    <w:rPr>
      <w:rFonts w:ascii="Times New Roman" w:eastAsiaTheme="minorEastAsia" w:hAnsi="Times New Roman"/>
      <w:color w:val="000000" w:themeColor="text1"/>
      <w:spacing w:val="15"/>
    </w:rPr>
  </w:style>
  <w:style w:type="paragraph" w:customStyle="1" w:styleId="MTDisplayEquation">
    <w:name w:val="MTDisplayEquation"/>
    <w:basedOn w:val="Normal"/>
    <w:next w:val="Normal"/>
    <w:link w:val="MTDisplayEquation0"/>
    <w:rsid w:val="00C95051"/>
    <w:pPr>
      <w:widowControl w:val="0"/>
      <w:tabs>
        <w:tab w:val="center" w:pos="2480"/>
        <w:tab w:val="right" w:pos="4940"/>
      </w:tabs>
      <w:spacing w:after="0" w:line="240" w:lineRule="auto"/>
      <w:jc w:val="both"/>
    </w:pPr>
    <w:rPr>
      <w:rFonts w:ascii="Calibri" w:eastAsia="SimSun" w:hAnsi="Calibri" w:cs="Calibri"/>
      <w:kern w:val="2"/>
      <w:sz w:val="21"/>
      <w:lang w:val="en-GB" w:eastAsia="zh-CN"/>
    </w:rPr>
  </w:style>
  <w:style w:type="character" w:customStyle="1" w:styleId="MTDisplayEquation0">
    <w:name w:val="MTDisplayEquation 字符"/>
    <w:link w:val="MTDisplayEquation"/>
    <w:rsid w:val="00C95051"/>
    <w:rPr>
      <w:rFonts w:ascii="Calibri" w:eastAsia="SimSun" w:hAnsi="Calibri" w:cs="Calibri"/>
      <w:kern w:val="2"/>
      <w:sz w:val="21"/>
      <w:lang w:val="en-GB" w:eastAsia="zh-CN"/>
    </w:rPr>
  </w:style>
  <w:style w:type="table" w:styleId="PlainTable2">
    <w:name w:val="Plain Table 2"/>
    <w:basedOn w:val="TableNormal"/>
    <w:uiPriority w:val="42"/>
    <w:rsid w:val="00C9505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9505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C950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02439">
      <w:bodyDiv w:val="1"/>
      <w:marLeft w:val="0"/>
      <w:marRight w:val="0"/>
      <w:marTop w:val="0"/>
      <w:marBottom w:val="0"/>
      <w:divBdr>
        <w:top w:val="none" w:sz="0" w:space="0" w:color="auto"/>
        <w:left w:val="none" w:sz="0" w:space="0" w:color="auto"/>
        <w:bottom w:val="none" w:sz="0" w:space="0" w:color="auto"/>
        <w:right w:val="none" w:sz="0" w:space="0" w:color="auto"/>
      </w:divBdr>
    </w:div>
    <w:div w:id="216429538">
      <w:bodyDiv w:val="1"/>
      <w:marLeft w:val="0"/>
      <w:marRight w:val="0"/>
      <w:marTop w:val="0"/>
      <w:marBottom w:val="0"/>
      <w:divBdr>
        <w:top w:val="none" w:sz="0" w:space="0" w:color="auto"/>
        <w:left w:val="none" w:sz="0" w:space="0" w:color="auto"/>
        <w:bottom w:val="none" w:sz="0" w:space="0" w:color="auto"/>
        <w:right w:val="none" w:sz="0" w:space="0" w:color="auto"/>
      </w:divBdr>
    </w:div>
    <w:div w:id="381559594">
      <w:bodyDiv w:val="1"/>
      <w:marLeft w:val="0"/>
      <w:marRight w:val="0"/>
      <w:marTop w:val="0"/>
      <w:marBottom w:val="0"/>
      <w:divBdr>
        <w:top w:val="none" w:sz="0" w:space="0" w:color="auto"/>
        <w:left w:val="none" w:sz="0" w:space="0" w:color="auto"/>
        <w:bottom w:val="none" w:sz="0" w:space="0" w:color="auto"/>
        <w:right w:val="none" w:sz="0" w:space="0" w:color="auto"/>
      </w:divBdr>
    </w:div>
    <w:div w:id="444226913">
      <w:bodyDiv w:val="1"/>
      <w:marLeft w:val="0"/>
      <w:marRight w:val="0"/>
      <w:marTop w:val="0"/>
      <w:marBottom w:val="0"/>
      <w:divBdr>
        <w:top w:val="none" w:sz="0" w:space="0" w:color="auto"/>
        <w:left w:val="none" w:sz="0" w:space="0" w:color="auto"/>
        <w:bottom w:val="none" w:sz="0" w:space="0" w:color="auto"/>
        <w:right w:val="none" w:sz="0" w:space="0" w:color="auto"/>
      </w:divBdr>
    </w:div>
    <w:div w:id="456990530">
      <w:bodyDiv w:val="1"/>
      <w:marLeft w:val="0"/>
      <w:marRight w:val="0"/>
      <w:marTop w:val="0"/>
      <w:marBottom w:val="0"/>
      <w:divBdr>
        <w:top w:val="none" w:sz="0" w:space="0" w:color="auto"/>
        <w:left w:val="none" w:sz="0" w:space="0" w:color="auto"/>
        <w:bottom w:val="none" w:sz="0" w:space="0" w:color="auto"/>
        <w:right w:val="none" w:sz="0" w:space="0" w:color="auto"/>
      </w:divBdr>
    </w:div>
    <w:div w:id="943922671">
      <w:bodyDiv w:val="1"/>
      <w:marLeft w:val="0"/>
      <w:marRight w:val="0"/>
      <w:marTop w:val="0"/>
      <w:marBottom w:val="0"/>
      <w:divBdr>
        <w:top w:val="none" w:sz="0" w:space="0" w:color="auto"/>
        <w:left w:val="none" w:sz="0" w:space="0" w:color="auto"/>
        <w:bottom w:val="none" w:sz="0" w:space="0" w:color="auto"/>
        <w:right w:val="none" w:sz="0" w:space="0" w:color="auto"/>
      </w:divBdr>
    </w:div>
    <w:div w:id="968247943">
      <w:bodyDiv w:val="1"/>
      <w:marLeft w:val="0"/>
      <w:marRight w:val="0"/>
      <w:marTop w:val="0"/>
      <w:marBottom w:val="0"/>
      <w:divBdr>
        <w:top w:val="none" w:sz="0" w:space="0" w:color="auto"/>
        <w:left w:val="none" w:sz="0" w:space="0" w:color="auto"/>
        <w:bottom w:val="none" w:sz="0" w:space="0" w:color="auto"/>
        <w:right w:val="none" w:sz="0" w:space="0" w:color="auto"/>
      </w:divBdr>
    </w:div>
    <w:div w:id="1039892181">
      <w:bodyDiv w:val="1"/>
      <w:marLeft w:val="0"/>
      <w:marRight w:val="0"/>
      <w:marTop w:val="0"/>
      <w:marBottom w:val="0"/>
      <w:divBdr>
        <w:top w:val="none" w:sz="0" w:space="0" w:color="auto"/>
        <w:left w:val="none" w:sz="0" w:space="0" w:color="auto"/>
        <w:bottom w:val="none" w:sz="0" w:space="0" w:color="auto"/>
        <w:right w:val="none" w:sz="0" w:space="0" w:color="auto"/>
      </w:divBdr>
    </w:div>
    <w:div w:id="1089623649">
      <w:bodyDiv w:val="1"/>
      <w:marLeft w:val="0"/>
      <w:marRight w:val="0"/>
      <w:marTop w:val="0"/>
      <w:marBottom w:val="0"/>
      <w:divBdr>
        <w:top w:val="none" w:sz="0" w:space="0" w:color="auto"/>
        <w:left w:val="none" w:sz="0" w:space="0" w:color="auto"/>
        <w:bottom w:val="none" w:sz="0" w:space="0" w:color="auto"/>
        <w:right w:val="none" w:sz="0" w:space="0" w:color="auto"/>
      </w:divBdr>
    </w:div>
    <w:div w:id="1261642065">
      <w:bodyDiv w:val="1"/>
      <w:marLeft w:val="0"/>
      <w:marRight w:val="0"/>
      <w:marTop w:val="0"/>
      <w:marBottom w:val="0"/>
      <w:divBdr>
        <w:top w:val="none" w:sz="0" w:space="0" w:color="auto"/>
        <w:left w:val="none" w:sz="0" w:space="0" w:color="auto"/>
        <w:bottom w:val="none" w:sz="0" w:space="0" w:color="auto"/>
        <w:right w:val="none" w:sz="0" w:space="0" w:color="auto"/>
      </w:divBdr>
    </w:div>
    <w:div w:id="1620723616">
      <w:bodyDiv w:val="1"/>
      <w:marLeft w:val="0"/>
      <w:marRight w:val="0"/>
      <w:marTop w:val="0"/>
      <w:marBottom w:val="0"/>
      <w:divBdr>
        <w:top w:val="none" w:sz="0" w:space="0" w:color="auto"/>
        <w:left w:val="none" w:sz="0" w:space="0" w:color="auto"/>
        <w:bottom w:val="none" w:sz="0" w:space="0" w:color="auto"/>
        <w:right w:val="none" w:sz="0" w:space="0" w:color="auto"/>
      </w:divBdr>
    </w:div>
    <w:div w:id="198496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file:////Users/ftar3919/Library/CloudStorage/OneDrive-TheUniversityofSydney(Staff)/Academia/Datasets/lancet_countdown_europe/results/2025/figures/mean_days_of_heatwave_2024.pn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file:////Users/ftar3919/Library/CloudStorage/OneDrive-TheUniversityofSydney(Staff)/Academia/Datasets/lancet_countdown_europe/results/2025/figures/mean_days_of_heatwave.png" TargetMode="Externa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image" Target="file:////Users/ftar3919/Library/CloudStorage/OneDrive-TheUniversityofSydney(Staff)/Academia/Datasets/lancet_countdown_europe/results/2025/figures/average_exposure_overall.p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file:////Users/ftar3919/Library/CloudStorage/OneDrive-TheUniversityofSydney(Staff)/Academia/Datasets/lancet_countdown_europe/results/2025/total%20exposure%20to%20change.p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62098-F172-47EF-AB47-1FD3FDBD14D1}">
  <ds:schemaRefs>
    <ds:schemaRef ds:uri="http://schemas.openxmlformats.org/officeDocument/2006/bibliography"/>
  </ds:schemaRefs>
</ds:datastoreItem>
</file>

<file path=docMetadata/LabelInfo.xml><?xml version="1.0" encoding="utf-8"?>
<clbl:labelList xmlns:clbl="http://schemas.microsoft.com/office/2020/mipLabelMetadata">
  <clbl:label id="{82b3e37e-8171-485d-b10b-38dae7ed14a8}" enabled="0" method="" siteId="{82b3e37e-8171-485d-b10b-38dae7ed14a8}" removed="1"/>
  <clbl:label id="{f13b610e-d3b5-490f-b165-988100e8232a}" enabled="1" method="Standard" siteId="{5a4ba6f9-f531-4f32-9467-398f19e69de4}" removed="0"/>
</clbl:labelList>
</file>

<file path=docProps/app.xml><?xml version="1.0" encoding="utf-8"?>
<Properties xmlns="http://schemas.openxmlformats.org/officeDocument/2006/extended-properties" xmlns:vt="http://schemas.openxmlformats.org/officeDocument/2006/docPropsVTypes">
  <Template>Normal.dotm</Template>
  <TotalTime>101</TotalTime>
  <Pages>5</Pages>
  <Words>1027</Words>
  <Characters>5855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McGushin</dc:creator>
  <cp:keywords/>
  <dc:description/>
  <cp:lastModifiedBy>Federico Tartarini</cp:lastModifiedBy>
  <cp:revision>163</cp:revision>
  <dcterms:created xsi:type="dcterms:W3CDTF">2025-02-26T13:09:00Z</dcterms:created>
  <dcterms:modified xsi:type="dcterms:W3CDTF">2025-04-04T07:05:00Z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13583132,2604ea24,3f043d29</vt:lpwstr>
  </property>
  <property fmtid="{D5CDD505-2E9C-101B-9397-08002B2CF9AE}" pid="3" name="ClassificationContentMarkingHeaderFontProps">
    <vt:lpwstr>#000000,8,Calibri</vt:lpwstr>
  </property>
  <property fmtid="{D5CDD505-2E9C-101B-9397-08002B2CF9AE}" pid="4" name="ClassificationContentMarkingHeaderText">
    <vt:lpwstr>Begränsad delning</vt:lpwstr>
  </property>
</Properties>
</file>