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6D2D0" w14:textId="77777777" w:rsidR="003806CB" w:rsidRPr="00ED5643" w:rsidRDefault="003806CB" w:rsidP="003806CB">
      <w:pPr>
        <w:pStyle w:val="Heading2"/>
        <w:jc w:val="left"/>
        <w:rPr>
          <w:rFonts w:cstheme="minorBidi"/>
        </w:rPr>
      </w:pPr>
      <w:bookmarkStart w:id="0" w:name="_Toc47088900"/>
      <w:bookmarkStart w:id="1" w:name="_Toc72495096"/>
      <w:bookmarkStart w:id="2" w:name="_Toc517101510"/>
      <w:r w:rsidRPr="00ED5643">
        <w:t>1.1 Health and Heat</w:t>
      </w:r>
      <w:bookmarkEnd w:id="0"/>
      <w:bookmarkEnd w:id="1"/>
    </w:p>
    <w:p w14:paraId="255560EA" w14:textId="3F2AA7BD" w:rsidR="003806CB" w:rsidRPr="00ED5643" w:rsidRDefault="003806CB" w:rsidP="003806CB">
      <w:pPr>
        <w:pStyle w:val="Heading3"/>
      </w:pPr>
      <w:bookmarkStart w:id="3" w:name="_Toc47088902"/>
      <w:bookmarkStart w:id="4" w:name="_Toc72495098"/>
      <w:r w:rsidRPr="00ED5643">
        <w:t>Indicator 1.1.</w:t>
      </w:r>
      <w:r w:rsidR="00D94815">
        <w:t>1</w:t>
      </w:r>
      <w:r w:rsidRPr="00ED5643">
        <w:t>: Exposure of Vulnerable Populations to Heatwaves</w:t>
      </w:r>
      <w:bookmarkEnd w:id="3"/>
      <w:bookmarkEnd w:id="4"/>
    </w:p>
    <w:bookmarkEnd w:id="2"/>
    <w:p w14:paraId="3CE6A7D3" w14:textId="75AE48B3" w:rsidR="0055002C" w:rsidRDefault="0055002C" w:rsidP="000F2D3B">
      <w:r w:rsidRPr="0055002C">
        <w:t>Heatwaves pose a significant health threat, with disproportionate impacts on vulnerable age groups</w:t>
      </w:r>
      <w:r w:rsidR="0029049E">
        <w:t xml:space="preserve"> (</w:t>
      </w:r>
      <w:commentRangeStart w:id="5"/>
      <w:r w:rsidR="0029049E">
        <w:t>REF</w:t>
      </w:r>
      <w:commentRangeEnd w:id="5"/>
      <w:r w:rsidR="0029049E">
        <w:rPr>
          <w:rStyle w:val="CommentReference"/>
          <w:rFonts w:eastAsia="Times New Roman" w:cs="Times New Roman"/>
          <w:lang w:val="en-GB" w:eastAsia="en-GB"/>
        </w:rPr>
        <w:commentReference w:id="5"/>
      </w:r>
      <w:r w:rsidR="0029049E">
        <w:t>)</w:t>
      </w:r>
      <w:r w:rsidRPr="0055002C">
        <w:t>.</w:t>
      </w:r>
      <w:r w:rsidR="00ED4FE3">
        <w:t xml:space="preserve"> Hence,</w:t>
      </w:r>
      <w:r w:rsidRPr="0055002C">
        <w:t xml:space="preserve"> </w:t>
      </w:r>
      <w:r w:rsidR="00ED4FE3">
        <w:t>t</w:t>
      </w:r>
      <w:r w:rsidRPr="0055002C">
        <w:t>his indicator quantifies the exposure of these vulnerable populations (</w:t>
      </w:r>
      <w:r w:rsidR="00673CE8" w:rsidRPr="00673CE8">
        <w:t>under one year and adults over 65 years of age</w:t>
      </w:r>
      <w:r w:rsidRPr="0055002C">
        <w:t>) to heatwave days across Europe.</w:t>
      </w:r>
    </w:p>
    <w:p w14:paraId="39E2ACE2" w14:textId="3875EFF6" w:rsidR="00B65245" w:rsidRPr="00011834" w:rsidRDefault="003A5EAC" w:rsidP="000F2D3B">
      <w:r w:rsidRPr="00011834">
        <w:t xml:space="preserve">In 2024, </w:t>
      </w:r>
      <w:r w:rsidR="00945A51" w:rsidRPr="00011834">
        <w:t xml:space="preserve">both </w:t>
      </w:r>
      <w:r w:rsidRPr="00011834">
        <w:t>vulnerable age groups experienced 2.</w:t>
      </w:r>
      <w:r w:rsidR="00BA58C7" w:rsidRPr="00011834">
        <w:t>3</w:t>
      </w:r>
      <w:r w:rsidRPr="00011834">
        <w:t xml:space="preserve"> billion person-days of heatwave exposure</w:t>
      </w:r>
      <w:r w:rsidR="00945A51" w:rsidRPr="00011834">
        <w:t xml:space="preserve"> combined</w:t>
      </w:r>
      <w:r w:rsidRPr="00011834">
        <w:t>, exceeding the previous maximum of 2.</w:t>
      </w:r>
      <w:r w:rsidR="00BA58C7" w:rsidRPr="00011834">
        <w:t>1</w:t>
      </w:r>
      <w:r w:rsidRPr="00011834">
        <w:t xml:space="preserve"> billion person-days recorded in 2023</w:t>
      </w:r>
      <w:r w:rsidR="00AD6B2E" w:rsidRPr="00011834">
        <w:t xml:space="preserve"> (</w:t>
      </w:r>
      <w:commentRangeStart w:id="6"/>
      <w:r w:rsidR="00AD6B2E" w:rsidRPr="00011834">
        <w:t>REF</w:t>
      </w:r>
      <w:commentRangeEnd w:id="6"/>
      <w:r w:rsidR="00AD6B2E" w:rsidRPr="00011834">
        <w:rPr>
          <w:rStyle w:val="CommentReference"/>
          <w:rFonts w:eastAsia="Times New Roman" w:cs="Times New Roman"/>
          <w:lang w:val="en-GB" w:eastAsia="en-GB"/>
        </w:rPr>
        <w:commentReference w:id="6"/>
      </w:r>
      <w:r w:rsidR="001062E7" w:rsidRPr="00011834">
        <w:t xml:space="preserve"> </w:t>
      </w:r>
      <w:commentRangeStart w:id="7"/>
      <w:r w:rsidR="001062E7" w:rsidRPr="00011834">
        <w:t>REF</w:t>
      </w:r>
      <w:commentRangeEnd w:id="7"/>
      <w:r w:rsidR="001062E7" w:rsidRPr="00011834">
        <w:rPr>
          <w:rStyle w:val="CommentReference"/>
          <w:rFonts w:eastAsia="Times New Roman" w:cs="Times New Roman"/>
          <w:lang w:val="en-GB" w:eastAsia="en-GB"/>
        </w:rPr>
        <w:commentReference w:id="7"/>
      </w:r>
      <w:r w:rsidR="00AD6B2E" w:rsidRPr="00011834">
        <w:t>)</w:t>
      </w:r>
      <w:r w:rsidRPr="00011834">
        <w:t>.</w:t>
      </w:r>
    </w:p>
    <w:p w14:paraId="22FC841F" w14:textId="0811D4DE" w:rsidR="000D09E7" w:rsidRPr="00252541" w:rsidRDefault="000D09E7" w:rsidP="000F2D3B">
      <w:pPr>
        <w:rPr>
          <w:highlight w:val="yellow"/>
        </w:rPr>
      </w:pPr>
      <w:r w:rsidRPr="00684FF9">
        <w:t xml:space="preserve">Analysis of long-term trends shows a </w:t>
      </w:r>
      <w:r w:rsidR="004E29CD" w:rsidRPr="00684FF9">
        <w:t>254</w:t>
      </w:r>
      <w:r w:rsidRPr="00684FF9">
        <w:t xml:space="preserve">% increase in total heatwave exposure, rising from </w:t>
      </w:r>
      <w:r w:rsidR="00684FF9" w:rsidRPr="00684FF9">
        <w:t>460</w:t>
      </w:r>
      <w:r w:rsidRPr="00684FF9">
        <w:t xml:space="preserve"> million person-days in 1991-2000 to 1.</w:t>
      </w:r>
      <w:r w:rsidR="00DE7680" w:rsidRPr="00684FF9">
        <w:t>63</w:t>
      </w:r>
      <w:r w:rsidRPr="00684FF9">
        <w:t xml:space="preserve"> billion person-days in 2015-2024. </w:t>
      </w:r>
      <w:r w:rsidRPr="00A25C3B">
        <w:t xml:space="preserve">This increase results from two contributing factors: demographic changes leading to larger vulnerable populations, and a </w:t>
      </w:r>
      <w:r w:rsidR="00C132C8" w:rsidRPr="00A25C3B">
        <w:t>129</w:t>
      </w:r>
      <w:r w:rsidRPr="00A25C3B">
        <w:t>% increase in the frequency of heatwave days over the same period.</w:t>
      </w:r>
    </w:p>
    <w:p w14:paraId="7650E2EE" w14:textId="61F6BC92" w:rsidR="00C3013D" w:rsidRPr="005A1F7B" w:rsidRDefault="000D09E7" w:rsidP="000D09E7">
      <w:r w:rsidRPr="00A046A6">
        <w:t xml:space="preserve">The geographical distribution of heatwave impacts exhibits regional variation. </w:t>
      </w:r>
      <w:r w:rsidR="00C72997" w:rsidRPr="00A046A6">
        <w:t>Easter</w:t>
      </w:r>
      <w:r w:rsidR="00486E36" w:rsidRPr="00A046A6">
        <w:t xml:space="preserve">n and Southern Europe, and Western </w:t>
      </w:r>
      <w:r w:rsidR="00550CFE" w:rsidRPr="00A046A6">
        <w:t xml:space="preserve">Asia were the most affected regions </w:t>
      </w:r>
      <w:r w:rsidR="001476C2" w:rsidRPr="00A046A6">
        <w:t>where v</w:t>
      </w:r>
      <w:r w:rsidR="0034214F" w:rsidRPr="00A046A6">
        <w:t xml:space="preserve">ulnerable groups where exposed to more than </w:t>
      </w:r>
      <w:r w:rsidR="00761A3A" w:rsidRPr="00A046A6">
        <w:t>15</w:t>
      </w:r>
      <w:r w:rsidR="0034214F" w:rsidRPr="00A046A6">
        <w:t xml:space="preserve"> days of heatwave per year since 2021</w:t>
      </w:r>
      <w:r w:rsidR="0042388B" w:rsidRPr="00A046A6">
        <w:t>.</w:t>
      </w:r>
      <w:r w:rsidR="00992758" w:rsidRPr="00A046A6">
        <w:t xml:space="preserve"> </w:t>
      </w:r>
      <w:r w:rsidR="008B5A95" w:rsidRPr="00A046A6">
        <w:t>In 2024, o</w:t>
      </w:r>
      <w:r w:rsidR="00992758" w:rsidRPr="00A046A6">
        <w:t xml:space="preserve">lder adults in </w:t>
      </w:r>
      <w:r w:rsidR="008B5A95" w:rsidRPr="00A046A6">
        <w:t>Easter</w:t>
      </w:r>
      <w:r w:rsidR="00300D1D" w:rsidRPr="00A046A6">
        <w:t>n</w:t>
      </w:r>
      <w:r w:rsidR="008B5A95" w:rsidRPr="00A046A6">
        <w:t xml:space="preserve"> Europe for the first time since 2000 experienced </w:t>
      </w:r>
      <w:r w:rsidR="00613F4C" w:rsidRPr="00A046A6">
        <w:t>34.5 days of heatwaves.</w:t>
      </w:r>
    </w:p>
    <w:sectPr w:rsidR="00C3013D" w:rsidRPr="005A1F7B" w:rsidSect="007E1BA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Federico Tartarini" w:date="2025-04-01T16:43:00Z" w:initials="f">
    <w:p w14:paraId="43EEA893" w14:textId="77777777" w:rsidR="0029049E" w:rsidRDefault="0029049E" w:rsidP="0029049E">
      <w:pPr>
        <w:jc w:val="left"/>
      </w:pPr>
      <w:r>
        <w:rPr>
          <w:rStyle w:val="CommentReference"/>
        </w:rPr>
        <w:annotationRef/>
      </w:r>
      <w:r>
        <w:rPr>
          <w:rFonts w:eastAsia="Times New Roman" w:cs="Times New Roman"/>
          <w:sz w:val="20"/>
          <w:szCs w:val="20"/>
          <w:lang w:val="en-GB" w:eastAsia="en-GB"/>
        </w:rPr>
        <w:t>Ebi KL, Capon A, Berry P, Broderick C, de Dear R, Havenith G, Honda Y, Kovats RS, Ma W, Malik A, Morris NB, Nybo L, Seneviratne SI, Vanos J, Jay O. Hot weather and heat extremes: health risks. Lancet. 2021 Aug 21;398(10301):698-708. doi: 10.1016/S0140-6736(21)01208-3. PMID: 34419205.</w:t>
      </w:r>
    </w:p>
  </w:comment>
  <w:comment w:id="6" w:author="Federico Tartarini" w:date="2025-04-01T16:49:00Z" w:initials="f">
    <w:p w14:paraId="3F005F8C" w14:textId="77777777" w:rsidR="00AD6B2E" w:rsidRDefault="00AD6B2E" w:rsidP="00AD6B2E">
      <w:pPr>
        <w:jc w:val="left"/>
      </w:pPr>
      <w:r>
        <w:rPr>
          <w:rStyle w:val="CommentReference"/>
        </w:rPr>
        <w:annotationRef/>
      </w:r>
      <w:r>
        <w:rPr>
          <w:rFonts w:eastAsia="Times New Roman" w:cs="Times New Roman"/>
          <w:sz w:val="20"/>
          <w:szCs w:val="20"/>
          <w:lang w:val="en-GB" w:eastAsia="en-GB"/>
        </w:rPr>
        <w:t>Muñoz Sabater, J. (2019): ERA5-Land hourly data from 1950 to present. Copernicus Climate Change Service (C3S) Climate Data Store (CDS). DOI: 10.24381/cds.e2161bac (Accessed on 01-04-2025)</w:t>
      </w:r>
    </w:p>
  </w:comment>
  <w:comment w:id="7" w:author="Federico Tartarini" w:date="2025-04-01T16:54:00Z" w:initials="f">
    <w:p w14:paraId="0097A115" w14:textId="77777777" w:rsidR="001062E7" w:rsidRDefault="001062E7" w:rsidP="001062E7">
      <w:pPr>
        <w:jc w:val="left"/>
      </w:pPr>
      <w:r>
        <w:rPr>
          <w:rStyle w:val="CommentReference"/>
        </w:rPr>
        <w:annotationRef/>
      </w:r>
      <w:r>
        <w:rPr>
          <w:rFonts w:eastAsia="Times New Roman" w:cs="Times New Roman"/>
          <w:sz w:val="20"/>
          <w:szCs w:val="20"/>
          <w:lang w:val="en-GB" w:eastAsia="en-GB"/>
        </w:rPr>
        <w:t>Center for International Earth Science Information Network - CIESIN - Columbia University. 2018. Gridded Population of the World, Version 4 (GPWv4): Population Count, Revision 11. Palisades, NY: NASA Socioeconomic Data and Applications Center (SEDAC). https://doi.org/10.7927/H4JW8BX5. Accessed 01-04-2025.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EEA893" w15:done="0"/>
  <w15:commentEx w15:paraId="3F005F8C" w15:done="0"/>
  <w15:commentEx w15:paraId="0097A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5384C6" w16cex:dateUtc="2025-04-01T05:43:00Z"/>
  <w16cex:commentExtensible w16cex:durableId="6845A05C" w16cex:dateUtc="2025-04-01T05:49:00Z"/>
  <w16cex:commentExtensible w16cex:durableId="4F8DD057" w16cex:dateUtc="2025-04-01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EEA893" w16cid:durableId="7B5384C6"/>
  <w16cid:commentId w16cid:paraId="3F005F8C" w16cid:durableId="6845A05C"/>
  <w16cid:commentId w16cid:paraId="0097A115" w16cid:durableId="4F8DD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27571" w14:textId="77777777" w:rsidR="0007133D" w:rsidRDefault="0007133D" w:rsidP="004B1FCB">
      <w:pPr>
        <w:spacing w:before="0" w:after="0" w:line="240" w:lineRule="auto"/>
      </w:pPr>
      <w:r>
        <w:separator/>
      </w:r>
    </w:p>
  </w:endnote>
  <w:endnote w:type="continuationSeparator" w:id="0">
    <w:p w14:paraId="246F263B" w14:textId="77777777" w:rsidR="0007133D" w:rsidRDefault="0007133D" w:rsidP="004B1F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alaLancetPro">
    <w:altName w:val="Hiragino Mincho ProN W3"/>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2299253"/>
      <w:docPartObj>
        <w:docPartGallery w:val="Page Numbers (Bottom of Page)"/>
        <w:docPartUnique/>
      </w:docPartObj>
    </w:sdtPr>
    <w:sdtEndPr>
      <w:rPr>
        <w:rStyle w:val="PageNumber"/>
      </w:rPr>
    </w:sdtEndPr>
    <w:sdtContent>
      <w:p w14:paraId="2DF3D6C2" w14:textId="71EE73A6" w:rsidR="004B1FCB" w:rsidRDefault="004B1FCB" w:rsidP="004674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36D0C5" w14:textId="77777777" w:rsidR="004B1FCB" w:rsidRDefault="004B1FCB" w:rsidP="004B1F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1845986"/>
      <w:docPartObj>
        <w:docPartGallery w:val="Page Numbers (Bottom of Page)"/>
        <w:docPartUnique/>
      </w:docPartObj>
    </w:sdtPr>
    <w:sdtEndPr>
      <w:rPr>
        <w:rStyle w:val="PageNumber"/>
      </w:rPr>
    </w:sdtEndPr>
    <w:sdtContent>
      <w:p w14:paraId="419EC063" w14:textId="0432E0D7" w:rsidR="004B1FCB" w:rsidRDefault="004B1FCB" w:rsidP="004674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55E77E" w14:textId="77777777" w:rsidR="004B1FCB" w:rsidRDefault="004B1FCB" w:rsidP="004B1FC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B723E" w14:textId="77777777" w:rsidR="00E83AAA" w:rsidRDefault="00E83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F642B" w14:textId="77777777" w:rsidR="0007133D" w:rsidRDefault="0007133D" w:rsidP="004B1FCB">
      <w:pPr>
        <w:spacing w:before="0" w:after="0" w:line="240" w:lineRule="auto"/>
      </w:pPr>
      <w:r>
        <w:separator/>
      </w:r>
    </w:p>
  </w:footnote>
  <w:footnote w:type="continuationSeparator" w:id="0">
    <w:p w14:paraId="65484FF4" w14:textId="77777777" w:rsidR="0007133D" w:rsidRDefault="0007133D" w:rsidP="004B1F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39F47" w14:textId="42AB66C0" w:rsidR="00D94815" w:rsidRDefault="00D94815">
    <w:pPr>
      <w:pStyle w:val="Header"/>
    </w:pPr>
    <w:r>
      <w:rPr>
        <w:noProof/>
      </w:rPr>
      <mc:AlternateContent>
        <mc:Choice Requires="wps">
          <w:drawing>
            <wp:anchor distT="0" distB="0" distL="0" distR="0" simplePos="0" relativeHeight="251659264" behindDoc="0" locked="0" layoutInCell="1" allowOverlap="1" wp14:anchorId="4491AB6B" wp14:editId="5600BD97">
              <wp:simplePos x="635" y="635"/>
              <wp:positionH relativeFrom="page">
                <wp:align>right</wp:align>
              </wp:positionH>
              <wp:positionV relativeFrom="page">
                <wp:align>top</wp:align>
              </wp:positionV>
              <wp:extent cx="1015365" cy="528955"/>
              <wp:effectExtent l="0" t="0" r="0" b="4445"/>
              <wp:wrapNone/>
              <wp:docPr id="342990476" name="Textruta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528955"/>
                      </a:xfrm>
                      <a:prstGeom prst="rect">
                        <a:avLst/>
                      </a:prstGeom>
                      <a:noFill/>
                      <a:ln>
                        <a:noFill/>
                      </a:ln>
                    </wps:spPr>
                    <wps:txbx>
                      <w:txbxContent>
                        <w:p w14:paraId="447381AB" w14:textId="1E426247"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491AB6B" id="_x0000_t202" coordsize="21600,21600" o:spt="202" path="m,l,21600r21600,l21600,xe">
              <v:stroke joinstyle="miter"/>
              <v:path gradientshapeok="t" o:connecttype="rect"/>
            </v:shapetype>
            <v:shape id="Textruta 2" o:spid="_x0000_s1026" type="#_x0000_t202" alt="Begränsad delning" style="position:absolute;left:0;text-align:left;margin-left:28.75pt;margin-top:0;width:79.95pt;height:41.6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" filled="f" stroked="f">
              <v:textbox style="mso-fit-shape-to-text:t" inset="0,15pt,20pt,0">
                <w:txbxContent>
                  <w:p w14:paraId="447381AB" w14:textId="1E426247"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A1C5A" w14:textId="0738E49C" w:rsidR="00D94815" w:rsidRDefault="00D94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B3C56" w14:textId="75B337BE" w:rsidR="00D94815" w:rsidRDefault="00D94815">
    <w:pPr>
      <w:pStyle w:val="Header"/>
    </w:pPr>
    <w:r>
      <w:rPr>
        <w:noProof/>
      </w:rPr>
      <mc:AlternateContent>
        <mc:Choice Requires="wps">
          <w:drawing>
            <wp:anchor distT="0" distB="0" distL="0" distR="0" simplePos="0" relativeHeight="251658240" behindDoc="0" locked="0" layoutInCell="1" allowOverlap="1" wp14:anchorId="776E5DE5" wp14:editId="44271B12">
              <wp:simplePos x="635" y="635"/>
              <wp:positionH relativeFrom="page">
                <wp:align>right</wp:align>
              </wp:positionH>
              <wp:positionV relativeFrom="page">
                <wp:align>top</wp:align>
              </wp:positionV>
              <wp:extent cx="1015365" cy="528955"/>
              <wp:effectExtent l="0" t="0" r="0" b="4445"/>
              <wp:wrapNone/>
              <wp:docPr id="685815878" name="Textruta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528955"/>
                      </a:xfrm>
                      <a:prstGeom prst="rect">
                        <a:avLst/>
                      </a:prstGeom>
                      <a:noFill/>
                      <a:ln>
                        <a:noFill/>
                      </a:ln>
                    </wps:spPr>
                    <wps:txbx>
                      <w:txbxContent>
                        <w:p w14:paraId="1164BE13" w14:textId="60DC8E2E"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76E5DE5" id="_x0000_t202" coordsize="21600,21600" o:spt="202" path="m,l,21600r21600,l21600,xe">
              <v:stroke joinstyle="miter"/>
              <v:path gradientshapeok="t" o:connecttype="rect"/>
            </v:shapetype>
            <v:shape id="Textruta 1" o:spid="_x0000_s1027" type="#_x0000_t202" alt="Begränsad delning" style="position:absolute;left:0;text-align:left;margin-left:28.75pt;margin-top:0;width:79.95pt;height:41.6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" filled="f" stroked="f">
              <v:textbox style="mso-fit-shape-to-text:t" inset="0,15pt,20pt,0">
                <w:txbxContent>
                  <w:p w14:paraId="1164BE13" w14:textId="60DC8E2E" w:rsidR="00D94815" w:rsidRPr="00D94815" w:rsidRDefault="00D94815" w:rsidP="00D94815">
                    <w:pPr>
                      <w:spacing w:after="0"/>
                      <w:rPr>
                        <w:rFonts w:ascii="Calibri" w:eastAsia="Calibri" w:hAnsi="Calibri" w:cs="Calibri"/>
                        <w:noProof/>
                        <w:color w:val="000000"/>
                        <w:sz w:val="16"/>
                        <w:szCs w:val="16"/>
                      </w:rPr>
                    </w:pPr>
                    <w:r w:rsidRPr="00D9481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11834"/>
    <w:rsid w:val="00037BD8"/>
    <w:rsid w:val="00042BBD"/>
    <w:rsid w:val="0007133D"/>
    <w:rsid w:val="00085DD2"/>
    <w:rsid w:val="000B1B42"/>
    <w:rsid w:val="000C1669"/>
    <w:rsid w:val="000D09E7"/>
    <w:rsid w:val="000E1915"/>
    <w:rsid w:val="000F2D3B"/>
    <w:rsid w:val="000F7B03"/>
    <w:rsid w:val="001062E7"/>
    <w:rsid w:val="001476C2"/>
    <w:rsid w:val="00196795"/>
    <w:rsid w:val="001A1025"/>
    <w:rsid w:val="00212D09"/>
    <w:rsid w:val="00243986"/>
    <w:rsid w:val="00252541"/>
    <w:rsid w:val="0025580D"/>
    <w:rsid w:val="00260FDB"/>
    <w:rsid w:val="0029049E"/>
    <w:rsid w:val="00300D1D"/>
    <w:rsid w:val="00301CCE"/>
    <w:rsid w:val="003126CF"/>
    <w:rsid w:val="00322128"/>
    <w:rsid w:val="0034214F"/>
    <w:rsid w:val="003775CE"/>
    <w:rsid w:val="003806CB"/>
    <w:rsid w:val="003A5EAC"/>
    <w:rsid w:val="003D18E9"/>
    <w:rsid w:val="0042388B"/>
    <w:rsid w:val="00482E3F"/>
    <w:rsid w:val="00486E36"/>
    <w:rsid w:val="004B1FCB"/>
    <w:rsid w:val="004E29CD"/>
    <w:rsid w:val="005307E9"/>
    <w:rsid w:val="00547D02"/>
    <w:rsid w:val="0055002C"/>
    <w:rsid w:val="00550CFE"/>
    <w:rsid w:val="00561D1F"/>
    <w:rsid w:val="005A1F7B"/>
    <w:rsid w:val="005C3124"/>
    <w:rsid w:val="005D70BD"/>
    <w:rsid w:val="005E0E98"/>
    <w:rsid w:val="006026D4"/>
    <w:rsid w:val="00613F4C"/>
    <w:rsid w:val="00673CE8"/>
    <w:rsid w:val="00684FF9"/>
    <w:rsid w:val="0071247C"/>
    <w:rsid w:val="00754844"/>
    <w:rsid w:val="00761A3A"/>
    <w:rsid w:val="00777D94"/>
    <w:rsid w:val="00793811"/>
    <w:rsid w:val="007A7EDB"/>
    <w:rsid w:val="007C16DB"/>
    <w:rsid w:val="007D30D5"/>
    <w:rsid w:val="007E1BA8"/>
    <w:rsid w:val="007E4DAA"/>
    <w:rsid w:val="00801D15"/>
    <w:rsid w:val="008B5A95"/>
    <w:rsid w:val="00901A6B"/>
    <w:rsid w:val="00933202"/>
    <w:rsid w:val="00945A51"/>
    <w:rsid w:val="00965A39"/>
    <w:rsid w:val="00992758"/>
    <w:rsid w:val="00A046A6"/>
    <w:rsid w:val="00A20F47"/>
    <w:rsid w:val="00A25C3B"/>
    <w:rsid w:val="00A665E1"/>
    <w:rsid w:val="00A76B8A"/>
    <w:rsid w:val="00AD1B1D"/>
    <w:rsid w:val="00AD6B2E"/>
    <w:rsid w:val="00B22A3D"/>
    <w:rsid w:val="00B65245"/>
    <w:rsid w:val="00BA58C7"/>
    <w:rsid w:val="00BD0566"/>
    <w:rsid w:val="00C132C8"/>
    <w:rsid w:val="00C25D2C"/>
    <w:rsid w:val="00C3013D"/>
    <w:rsid w:val="00C72997"/>
    <w:rsid w:val="00CF2191"/>
    <w:rsid w:val="00CF7E5C"/>
    <w:rsid w:val="00D34AF1"/>
    <w:rsid w:val="00D94815"/>
    <w:rsid w:val="00DE7680"/>
    <w:rsid w:val="00E47C2D"/>
    <w:rsid w:val="00E83AAA"/>
    <w:rsid w:val="00ED4FE3"/>
    <w:rsid w:val="00F8023F"/>
    <w:rsid w:val="00FE1AB5"/>
    <w:rsid w:val="00FF3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BD"/>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3806CB"/>
    <w:pPr>
      <w:spacing w:before="0" w:after="200"/>
      <w:jc w:val="left"/>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3806CB"/>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Footer">
    <w:name w:val="footer"/>
    <w:basedOn w:val="Normal"/>
    <w:link w:val="FooterChar"/>
    <w:uiPriority w:val="99"/>
    <w:unhideWhenUsed/>
    <w:rsid w:val="004B1FC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B1FCB"/>
  </w:style>
  <w:style w:type="character" w:styleId="PageNumber">
    <w:name w:val="page number"/>
    <w:basedOn w:val="DefaultParagraphFont"/>
    <w:uiPriority w:val="99"/>
    <w:semiHidden/>
    <w:unhideWhenUsed/>
    <w:rsid w:val="004B1FCB"/>
  </w:style>
  <w:style w:type="paragraph" w:styleId="Header">
    <w:name w:val="header"/>
    <w:basedOn w:val="Normal"/>
    <w:link w:val="HeaderChar"/>
    <w:uiPriority w:val="99"/>
    <w:unhideWhenUsed/>
    <w:rsid w:val="00D94815"/>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D94815"/>
  </w:style>
  <w:style w:type="paragraph" w:styleId="CommentSubject">
    <w:name w:val="annotation subject"/>
    <w:basedOn w:val="CommentText"/>
    <w:next w:val="CommentText"/>
    <w:link w:val="CommentSubjectChar"/>
    <w:uiPriority w:val="99"/>
    <w:semiHidden/>
    <w:unhideWhenUsed/>
    <w:rsid w:val="0029049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29049E"/>
    <w:rPr>
      <w:rFonts w:eastAsia="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 id="{f13b610e-d3b5-490f-b165-988100e8232a}" enabled="1" method="Standard" siteId="{5a4ba6f9-f531-4f32-9467-398f19e69de4}"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31</cp:revision>
  <dcterms:created xsi:type="dcterms:W3CDTF">2025-04-01T05:43:00Z</dcterms:created>
  <dcterms:modified xsi:type="dcterms:W3CDTF">2025-04-10T04:50:00Z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28e0b846,14719e8c,16d92feb</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