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BD7DC" w14:textId="5241265F" w:rsidR="003806CB" w:rsidRPr="00ED5643" w:rsidRDefault="00E35D00" w:rsidP="003806CB">
      <w:pPr>
        <w:pStyle w:val="Heading1"/>
        <w:jc w:val="left"/>
      </w:pPr>
      <w:bookmarkStart w:id="0" w:name="_Toc72495095"/>
      <w:r w:rsidRPr="00E35D00">
        <w:t>Section 1: Health Hazards, Exposure, and Impact</w:t>
      </w:r>
      <w:bookmarkEnd w:id="0"/>
    </w:p>
    <w:p w14:paraId="1D53F37C" w14:textId="7A15C03E" w:rsidR="00377E2F" w:rsidRPr="00ED5643" w:rsidRDefault="00377E2F" w:rsidP="003806CB">
      <w:pPr>
        <w:jc w:val="left"/>
        <w:rPr>
          <w:rFonts w:ascii="Calibri" w:hAnsi="Calibri"/>
        </w:rPr>
      </w:pPr>
      <w:bookmarkStart w:id="1" w:name="_Toc517101510"/>
      <w:r>
        <w:rPr>
          <w:rFonts w:ascii="Calibri" w:hAnsi="Calibri"/>
        </w:rPr>
        <w:t xml:space="preserve">One paragraph introduction to section here.  </w:t>
      </w:r>
    </w:p>
    <w:p w14:paraId="4D38EE91" w14:textId="28AFD84D" w:rsidR="007E752C" w:rsidRPr="00FA77FE" w:rsidRDefault="002641ED" w:rsidP="00FA77FE">
      <w:pPr>
        <w:pStyle w:val="Heading2"/>
        <w:jc w:val="left"/>
      </w:pPr>
      <w:bookmarkStart w:id="2" w:name="_Toc47088900"/>
      <w:bookmarkStart w:id="3" w:name="_Toc72495096"/>
      <w:r w:rsidRPr="002641ED">
        <w:t>1.1 Health and heat</w:t>
      </w:r>
      <w:bookmarkEnd w:id="2"/>
      <w:bookmarkEnd w:id="3"/>
    </w:p>
    <w:p w14:paraId="77925EC2" w14:textId="5C9E8D42" w:rsidR="003806CB" w:rsidRPr="007E752C" w:rsidRDefault="00543741" w:rsidP="003806CB">
      <w:pPr>
        <w:pStyle w:val="Heading3"/>
        <w:rPr>
          <w:lang w:val="en-GB"/>
        </w:rPr>
      </w:pPr>
      <w:bookmarkStart w:id="4" w:name="_Toc72495097"/>
      <w:bookmarkStart w:id="5" w:name="_Toc47088901"/>
      <w:r w:rsidRPr="00543741">
        <w:rPr>
          <w:lang w:val="en-GB"/>
        </w:rPr>
        <w:t>Indicator 1.1.1: exposure of vulnerable populations to heatwaves</w:t>
      </w:r>
      <w:bookmarkEnd w:id="4"/>
    </w:p>
    <w:p w14:paraId="24623057" w14:textId="324FE8E8" w:rsidR="003806CB" w:rsidRPr="00E105E6" w:rsidRDefault="003806CB" w:rsidP="00260FDB">
      <w:r w:rsidRPr="3594E0B5">
        <w:rPr>
          <w:i/>
          <w:iCs/>
        </w:rPr>
        <w:t>Headline finding:</w:t>
      </w:r>
      <w:r w:rsidR="001665A5" w:rsidRPr="3594E0B5">
        <w:rPr>
          <w:i/>
          <w:iCs/>
        </w:rPr>
        <w:t xml:space="preserve"> </w:t>
      </w:r>
      <w:r w:rsidR="500EE561" w:rsidRPr="3594E0B5">
        <w:rPr>
          <w:i/>
          <w:iCs/>
        </w:rPr>
        <w:t xml:space="preserve">In 2024, </w:t>
      </w:r>
      <w:r w:rsidR="20E5D471" w:rsidRPr="3594E0B5">
        <w:rPr>
          <w:i/>
          <w:iCs/>
        </w:rPr>
        <w:t xml:space="preserve">people </w:t>
      </w:r>
      <w:r w:rsidR="20D9F7B5" w:rsidRPr="3594E0B5">
        <w:rPr>
          <w:i/>
          <w:iCs/>
        </w:rPr>
        <w:t xml:space="preserve">older than </w:t>
      </w:r>
      <w:r w:rsidR="001665A5" w:rsidRPr="3594E0B5">
        <w:rPr>
          <w:i/>
          <w:iCs/>
        </w:rPr>
        <w:t xml:space="preserve">65 years </w:t>
      </w:r>
      <w:r w:rsidR="00BD7581" w:rsidRPr="3594E0B5">
        <w:rPr>
          <w:i/>
          <w:iCs/>
        </w:rPr>
        <w:t>and 75 years,</w:t>
      </w:r>
      <w:r w:rsidR="001665A5" w:rsidRPr="3594E0B5">
        <w:rPr>
          <w:i/>
          <w:iCs/>
        </w:rPr>
        <w:t xml:space="preserve"> and infants </w:t>
      </w:r>
      <w:r w:rsidR="4A5260AE" w:rsidRPr="3594E0B5">
        <w:rPr>
          <w:i/>
          <w:iCs/>
        </w:rPr>
        <w:t xml:space="preserve">younger </w:t>
      </w:r>
      <w:r w:rsidR="00CF5763">
        <w:rPr>
          <w:i/>
          <w:iCs/>
        </w:rPr>
        <w:t xml:space="preserve">than </w:t>
      </w:r>
      <w:r w:rsidR="4A5260AE" w:rsidRPr="3594E0B5">
        <w:rPr>
          <w:i/>
          <w:iCs/>
        </w:rPr>
        <w:t>1 year</w:t>
      </w:r>
      <w:r w:rsidR="00CF5763">
        <w:rPr>
          <w:i/>
          <w:iCs/>
        </w:rPr>
        <w:t xml:space="preserve"> </w:t>
      </w:r>
      <w:r w:rsidR="00726CDE" w:rsidRPr="3594E0B5">
        <w:rPr>
          <w:i/>
          <w:iCs/>
        </w:rPr>
        <w:t xml:space="preserve">experienced </w:t>
      </w:r>
      <w:r w:rsidR="6A21AEC5" w:rsidRPr="3594E0B5">
        <w:rPr>
          <w:i/>
          <w:iCs/>
        </w:rPr>
        <w:t>a reco</w:t>
      </w:r>
      <w:r w:rsidR="1CFBAB82" w:rsidRPr="3594E0B5">
        <w:rPr>
          <w:i/>
          <w:iCs/>
        </w:rPr>
        <w:t>rd-high</w:t>
      </w:r>
      <w:r w:rsidR="4E478A78" w:rsidRPr="3594E0B5">
        <w:rPr>
          <w:i/>
          <w:iCs/>
        </w:rPr>
        <w:t xml:space="preserve"> average</w:t>
      </w:r>
      <w:r w:rsidR="00E105E6" w:rsidRPr="3594E0B5">
        <w:rPr>
          <w:i/>
          <w:iCs/>
        </w:rPr>
        <w:t xml:space="preserve"> </w:t>
      </w:r>
      <w:r w:rsidR="00726CDE" w:rsidRPr="3594E0B5">
        <w:rPr>
          <w:i/>
          <w:iCs/>
        </w:rPr>
        <w:t>20.</w:t>
      </w:r>
      <w:r w:rsidR="008C27F4" w:rsidRPr="3594E0B5">
        <w:rPr>
          <w:i/>
          <w:iCs/>
        </w:rPr>
        <w:t>8</w:t>
      </w:r>
      <w:r w:rsidR="00124B96" w:rsidRPr="3594E0B5">
        <w:rPr>
          <w:i/>
          <w:iCs/>
        </w:rPr>
        <w:t>, 21.1,</w:t>
      </w:r>
      <w:r w:rsidR="008C27F4" w:rsidRPr="3594E0B5">
        <w:rPr>
          <w:i/>
          <w:iCs/>
        </w:rPr>
        <w:t xml:space="preserve"> and 20.</w:t>
      </w:r>
      <w:r w:rsidR="00124B96" w:rsidRPr="3594E0B5">
        <w:rPr>
          <w:i/>
          <w:iCs/>
        </w:rPr>
        <w:t>5</w:t>
      </w:r>
      <w:r w:rsidR="00726CDE" w:rsidRPr="3594E0B5">
        <w:rPr>
          <w:i/>
          <w:iCs/>
        </w:rPr>
        <w:t xml:space="preserve"> </w:t>
      </w:r>
      <w:r w:rsidR="00E105E6" w:rsidRPr="3594E0B5">
        <w:rPr>
          <w:i/>
          <w:iCs/>
        </w:rPr>
        <w:t>days of heatwave per person</w:t>
      </w:r>
      <w:r w:rsidR="008C27F4" w:rsidRPr="3594E0B5">
        <w:rPr>
          <w:i/>
          <w:iCs/>
        </w:rPr>
        <w:t>, respectively</w:t>
      </w:r>
    </w:p>
    <w:p w14:paraId="7BD9CA71" w14:textId="75BF4FBE" w:rsidR="007D74D6" w:rsidRDefault="007D74D6" w:rsidP="007D74D6">
      <w:r>
        <w:t>Heatwaves pose a significant health risk, particularly for older adults</w:t>
      </w:r>
      <w:r w:rsidR="33106F73">
        <w:t xml:space="preserve"> and</w:t>
      </w:r>
      <w:r>
        <w:t xml:space="preserve"> infants</w:t>
      </w:r>
      <w:r w:rsidR="2C623760">
        <w:t xml:space="preserve"> (</w:t>
      </w:r>
      <w:commentRangeStart w:id="6"/>
      <w:r w:rsidR="2C623760">
        <w:t>REF</w:t>
      </w:r>
      <w:commentRangeEnd w:id="6"/>
      <w:r>
        <w:rPr>
          <w:rStyle w:val="CommentReference"/>
        </w:rPr>
        <w:commentReference w:id="6"/>
      </w:r>
      <w:r w:rsidR="2C623760">
        <w:t>)</w:t>
      </w:r>
      <w:r w:rsidR="46CF7992">
        <w:t>. Age-related decrements in sweating occur by the age of 65 years</w:t>
      </w:r>
      <w:r w:rsidR="3564323D">
        <w:t>,</w:t>
      </w:r>
      <w:r w:rsidR="46CF7992">
        <w:t xml:space="preserve"> with these impairment</w:t>
      </w:r>
      <w:r w:rsidR="037D338B">
        <w:t>s</w:t>
      </w:r>
      <w:r w:rsidR="46CF7992">
        <w:t xml:space="preserve"> further pronou</w:t>
      </w:r>
      <w:r w:rsidR="4DF13CBF">
        <w:t>nced abov</w:t>
      </w:r>
      <w:r w:rsidR="6DBDAD82">
        <w:t>e</w:t>
      </w:r>
      <w:r w:rsidR="4DF13CBF">
        <w:t xml:space="preserve"> the age of 75 years</w:t>
      </w:r>
      <w:r w:rsidR="5FBC5E17">
        <w:t xml:space="preserve"> (</w:t>
      </w:r>
      <w:commentRangeStart w:id="7"/>
      <w:r w:rsidR="5FBC5E17">
        <w:t>REF</w:t>
      </w:r>
      <w:commentRangeEnd w:id="7"/>
      <w:r>
        <w:rPr>
          <w:rStyle w:val="CommentReference"/>
        </w:rPr>
        <w:commentReference w:id="7"/>
      </w:r>
      <w:r w:rsidR="5FBC5E17">
        <w:t xml:space="preserve">). </w:t>
      </w:r>
      <w:r w:rsidR="53BFB0BD">
        <w:t xml:space="preserve">The risk of underlying chronic diseases also increases with advanced ageing. </w:t>
      </w:r>
      <w:r w:rsidR="5FBC5E17">
        <w:t xml:space="preserve">Infants are especially vulnerable to extreme heat because of morphological disadvantages and a limited </w:t>
      </w:r>
      <w:r w:rsidR="79E2D795">
        <w:t xml:space="preserve">ability to </w:t>
      </w:r>
      <w:proofErr w:type="spellStart"/>
      <w:r w:rsidR="36046D81">
        <w:t>behaviourally</w:t>
      </w:r>
      <w:proofErr w:type="spellEnd"/>
      <w:r w:rsidR="79E2D795">
        <w:t xml:space="preserve"> avoid the heat</w:t>
      </w:r>
      <w:r w:rsidR="600A1799">
        <w:t xml:space="preserve"> (</w:t>
      </w:r>
      <w:commentRangeStart w:id="8"/>
      <w:r w:rsidR="600A1799">
        <w:t>REF</w:t>
      </w:r>
      <w:commentRangeEnd w:id="8"/>
      <w:r>
        <w:rPr>
          <w:rStyle w:val="CommentReference"/>
        </w:rPr>
        <w:commentReference w:id="8"/>
      </w:r>
      <w:r w:rsidR="600A1799">
        <w:t>)</w:t>
      </w:r>
      <w:r>
        <w:t>.</w:t>
      </w:r>
    </w:p>
    <w:p w14:paraId="25FF0BDD" w14:textId="5D3C8602" w:rsidR="007D74D6" w:rsidRDefault="007D74D6" w:rsidP="007D74D6">
      <w:r>
        <w:t>This indicator monitors heatwave exposure among vulnerable age groups—infants under one year and adults over 65</w:t>
      </w:r>
      <w:r w:rsidR="0038354A">
        <w:t xml:space="preserve"> and 75 years of age</w:t>
      </w:r>
      <w:r>
        <w:t>—by tracking the number of heatwave days they experience</w:t>
      </w:r>
      <w:r w:rsidR="00BD43D9">
        <w:t xml:space="preserve"> (</w:t>
      </w:r>
      <w:commentRangeStart w:id="9"/>
      <w:commentRangeStart w:id="10"/>
      <w:r w:rsidR="00BD43D9">
        <w:t>REF</w:t>
      </w:r>
      <w:commentRangeEnd w:id="9"/>
      <w:r w:rsidR="00BD43D9">
        <w:rPr>
          <w:rStyle w:val="CommentReference"/>
          <w:rFonts w:eastAsia="Times New Roman" w:cs="Times New Roman"/>
          <w:lang w:val="en-GB" w:eastAsia="en-GB"/>
        </w:rPr>
        <w:commentReference w:id="9"/>
      </w:r>
      <w:commentRangeEnd w:id="10"/>
      <w:r w:rsidR="0016217C">
        <w:rPr>
          <w:rStyle w:val="CommentReference"/>
          <w:rFonts w:eastAsia="Times New Roman" w:cs="Times New Roman"/>
          <w:lang w:val="en-GB" w:eastAsia="en-GB"/>
        </w:rPr>
        <w:commentReference w:id="10"/>
      </w:r>
      <w:r w:rsidR="00BD43D9">
        <w:t>)</w:t>
      </w:r>
      <w:r>
        <w:t>. For this analysis, heatwaves are defined as periods of at least two consecutive days where both minimum and maximum temperatures exceed the 95th percentile of local climatology</w:t>
      </w:r>
      <w:r w:rsidR="00552E1B">
        <w:t xml:space="preserve"> </w:t>
      </w:r>
      <w:commentRangeStart w:id="11"/>
      <w:r w:rsidR="00552E1B">
        <w:t>(REF)</w:t>
      </w:r>
      <w:commentRangeEnd w:id="11"/>
      <w:r w:rsidR="00552E1B">
        <w:rPr>
          <w:rStyle w:val="CommentReference"/>
          <w:rFonts w:eastAsia="Times New Roman" w:cs="Times New Roman"/>
          <w:lang w:val="en-GB" w:eastAsia="en-GB"/>
        </w:rPr>
        <w:commentReference w:id="11"/>
      </w:r>
      <w:r>
        <w:t>, based on the 1986–2005 baseline.</w:t>
      </w:r>
    </w:p>
    <w:p w14:paraId="1C0468EF" w14:textId="4F555383" w:rsidR="002F0FEA" w:rsidRDefault="007D74D6" w:rsidP="007D74D6">
      <w:r>
        <w:t>To separate the effects of increasing heatwave frequency from demographic shifts, a counterfactual scenario was developed in which heatwave incidence remains constant at baseline levels, allowing for a clearer evaluation of the impact of population growth and aging.</w:t>
      </w:r>
    </w:p>
    <w:p w14:paraId="2138D749" w14:textId="63C7DD36" w:rsidR="002E42DD" w:rsidRPr="00543741" w:rsidRDefault="00C24422" w:rsidP="002E42DD">
      <w:r>
        <w:t xml:space="preserve">In 2024, </w:t>
      </w:r>
      <w:r w:rsidR="00761E1A">
        <w:t>all</w:t>
      </w:r>
      <w:r>
        <w:t xml:space="preserve"> vulnerable age groups experienced a</w:t>
      </w:r>
      <w:r w:rsidR="00761E1A">
        <w:t xml:space="preserve">n </w:t>
      </w:r>
      <w:r>
        <w:t xml:space="preserve">increase in total heatwave person-days </w:t>
      </w:r>
      <w:r w:rsidR="00B86DB6">
        <w:t xml:space="preserve">by more than 44% </w:t>
      </w:r>
      <w:r>
        <w:t>compared to 2023. Older adults (65+</w:t>
      </w:r>
      <w:r w:rsidR="26D760B1">
        <w:t xml:space="preserve"> y</w:t>
      </w:r>
      <w:r>
        <w:t>) recorded an unprecedented 17.</w:t>
      </w:r>
      <w:r w:rsidR="00394E76">
        <w:t>7</w:t>
      </w:r>
      <w:r>
        <w:t xml:space="preserve"> billion person-days of heatwaves</w:t>
      </w:r>
      <w:r w:rsidR="00C86888">
        <w:t xml:space="preserve"> – an increase of 49% compared to 2023</w:t>
      </w:r>
      <w:r w:rsidR="2356C50E">
        <w:t>, which itself was a record-high year</w:t>
      </w:r>
      <w:r w:rsidR="00155BAF">
        <w:t>. Out of these</w:t>
      </w:r>
      <w:r w:rsidR="00597CB9">
        <w:t>,</w:t>
      </w:r>
      <w:r w:rsidR="00155BAF">
        <w:t xml:space="preserve"> </w:t>
      </w:r>
      <w:r w:rsidR="00804B15">
        <w:t>6.4 billion person-days were experienced by people aged 75 year</w:t>
      </w:r>
      <w:r w:rsidR="2329FCAA">
        <w:t>s</w:t>
      </w:r>
      <w:r w:rsidR="00804B15">
        <w:t xml:space="preserve"> or </w:t>
      </w:r>
      <w:r w:rsidR="4A30ED26">
        <w:t>older</w:t>
      </w:r>
      <w:r w:rsidR="00804B15">
        <w:t>.</w:t>
      </w:r>
      <w:r>
        <w:t xml:space="preserve"> </w:t>
      </w:r>
      <w:r w:rsidR="00804B15">
        <w:t>I</w:t>
      </w:r>
      <w:r>
        <w:t>nfants under one year experienced 2.9 billion person-days</w:t>
      </w:r>
      <w:r w:rsidR="00597CB9">
        <w:t xml:space="preserve"> – an increase of 67% compared to </w:t>
      </w:r>
      <w:r w:rsidR="00597CB9">
        <w:lastRenderedPageBreak/>
        <w:t>2023</w:t>
      </w:r>
      <w:r>
        <w:t xml:space="preserve">. On average </w:t>
      </w:r>
      <w:r w:rsidR="00D64DF0">
        <w:t>worldwide</w:t>
      </w:r>
      <w:r w:rsidR="00F90965">
        <w:t>,</w:t>
      </w:r>
      <w:r w:rsidR="00D64DF0">
        <w:t xml:space="preserve"> an </w:t>
      </w:r>
      <w:r>
        <w:t>older adult</w:t>
      </w:r>
      <w:r w:rsidR="00D64DF0">
        <w:t xml:space="preserve"> (65+)</w:t>
      </w:r>
      <w:r>
        <w:t xml:space="preserve"> </w:t>
      </w:r>
      <w:r w:rsidR="00D64DF0">
        <w:t>was exposed to</w:t>
      </w:r>
      <w:r>
        <w:t xml:space="preserve"> 20.8 heatwave days per person, while </w:t>
      </w:r>
      <w:r w:rsidR="00F90965">
        <w:t xml:space="preserve">an </w:t>
      </w:r>
      <w:r>
        <w:t>infant experienced 20.</w:t>
      </w:r>
      <w:r w:rsidR="00D941D3">
        <w:t>5</w:t>
      </w:r>
      <w:r>
        <w:t xml:space="preserve"> days. </w:t>
      </w:r>
      <w:r w:rsidR="00113030">
        <w:t>"Low" HDI countries saw the fastest growth in average annual heatwave days per person for both vulnerable groups, rising from 7.5 to 21.0 days—a 181% increase. Meanwhile, "High" HDI countries recorded the highest average exposure, reaching 23.3 heatwave days per person per year.</w:t>
      </w:r>
      <w:bookmarkEnd w:id="5"/>
      <w:bookmarkEnd w:id="1"/>
      <w:r w:rsidR="00B77626">
        <w:t xml:space="preserve"> </w:t>
      </w:r>
      <w:r w:rsidR="00C74AD8">
        <w:t xml:space="preserve">If heatwave incidence had remained </w:t>
      </w:r>
      <w:proofErr w:type="gramStart"/>
      <w:r w:rsidR="00C74AD8">
        <w:t>at</w:t>
      </w:r>
      <w:proofErr w:type="gramEnd"/>
      <w:r w:rsidR="00C74AD8">
        <w:t xml:space="preserve"> 1986–2005 levels, their exposure would have been 50% lower.</w:t>
      </w:r>
    </w:p>
    <w:p w14:paraId="0997D6AF" w14:textId="1EF7BDCB" w:rsidR="003806CB" w:rsidRPr="006E1485" w:rsidRDefault="003806CB" w:rsidP="002E42DD"/>
    <w:sectPr w:rsidR="003806CB" w:rsidRPr="006E1485" w:rsidSect="0003267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Ollie Jay" w:date="2025-03-10T22:58:00Z" w:initials="OJ">
    <w:p w14:paraId="6C96DEFB" w14:textId="30D9EDF6" w:rsidR="00C042F1" w:rsidRDefault="00C042F1">
      <w:pPr>
        <w:pStyle w:val="CommentText"/>
      </w:pPr>
      <w:r>
        <w:rPr>
          <w:rStyle w:val="CommentReference"/>
        </w:rPr>
        <w:annotationRef/>
      </w:r>
      <w:r w:rsidRPr="5E2029B2">
        <w:t>Ebi KL, Capon A, Berry P, Broderick C, de Dear R, Havenith G, Honda Y, Kovats RS, Ma W, Malik A, Morris NB, Nybo L, Seneviratne SI, Vanos J, Jay O. Hot weather and heat extremes: health risks. Lancet. 2021 Aug 21;398(10301):698-708. doi: 10.1016/S0140-6736(21)01208-3. PMID: 34419205.</w:t>
      </w:r>
    </w:p>
    <w:p w14:paraId="225F58AC" w14:textId="68784862" w:rsidR="00C042F1" w:rsidRDefault="00C042F1">
      <w:pPr>
        <w:pStyle w:val="CommentText"/>
      </w:pPr>
    </w:p>
  </w:comment>
  <w:comment w:id="7" w:author="Ollie Jay" w:date="2025-03-10T22:59:00Z" w:initials="OJ">
    <w:p w14:paraId="65D32ABA" w14:textId="42E15A6D" w:rsidR="00C042F1" w:rsidRDefault="00C042F1">
      <w:pPr>
        <w:pStyle w:val="CommentText"/>
      </w:pPr>
      <w:r>
        <w:rPr>
          <w:rStyle w:val="CommentReference"/>
        </w:rPr>
        <w:annotationRef/>
      </w:r>
      <w:r w:rsidRPr="0059CBE6">
        <w:t>Kenney WL, Munce TA. Invited review: aging and human temperature regulation. J Appl Physiol (1985). 2003 Dec;95(6):2598-603. doi: 10.1152/japplphysiol.00202.2003. PMID: 14600165.</w:t>
      </w:r>
    </w:p>
  </w:comment>
  <w:comment w:id="8" w:author="Ollie Jay" w:date="2025-03-10T23:03:00Z" w:initials="OJ">
    <w:p w14:paraId="76B8F25A" w14:textId="26306BC6" w:rsidR="00C042F1" w:rsidRDefault="00C042F1">
      <w:pPr>
        <w:pStyle w:val="CommentText"/>
      </w:pPr>
      <w:r>
        <w:rPr>
          <w:rStyle w:val="CommentReference"/>
        </w:rPr>
        <w:annotationRef/>
      </w:r>
      <w:r w:rsidRPr="02C490D8">
        <w:t>Ebi KL, Capon A, Berry P, Broderick C, de Dear R, Havenith G, Honda Y, Kovats RS, Ma W, Malik A, Morris NB, Nybo L, Seneviratne SI, Vanos J, Jay O. Hot weather and heat extremes: health risks. Lancet. 2021 Aug 21;398(10301):698-708. doi: 10.1016/S0140-6736(21)01208-3. PMID: 34419205.</w:t>
      </w:r>
    </w:p>
    <w:p w14:paraId="4D518473" w14:textId="5460F21B" w:rsidR="00C042F1" w:rsidRDefault="00C042F1">
      <w:pPr>
        <w:pStyle w:val="CommentText"/>
      </w:pPr>
    </w:p>
  </w:comment>
  <w:comment w:id="9" w:author="Federico Tartarini" w:date="2025-03-12T14:17:00Z" w:initials="f">
    <w:p w14:paraId="75EDF575" w14:textId="77777777" w:rsidR="00BD43D9" w:rsidRDefault="00BD43D9" w:rsidP="00BD43D9">
      <w:pPr>
        <w:jc w:val="left"/>
      </w:pPr>
      <w:r>
        <w:rPr>
          <w:rStyle w:val="CommentReference"/>
        </w:rPr>
        <w:annotationRef/>
      </w:r>
      <w:r>
        <w:rPr>
          <w:rFonts w:eastAsia="Times New Roman" w:cs="Times New Roman"/>
          <w:sz w:val="20"/>
          <w:szCs w:val="20"/>
          <w:lang w:val="en-GB" w:eastAsia="en-GB"/>
        </w:rPr>
        <w:t>WorldPop (www.worldpop.org - School of Geography and Environmental Science, University of Southampton; Department of Geography and Geosciences, University of Louisville; Departement de Geographie, Universite de Namur) and Center for International Earth Science Information Network (CIESIN), Columbia University (2018). Global High Resolution Population Denominators Project - Funded by The Bill and Melinda Gates Foundation (OPP1134076). https://dx.doi.org/10.5258/SOTON/WP00646</w:t>
      </w:r>
    </w:p>
  </w:comment>
  <w:comment w:id="10" w:author="Federico Tartarini" w:date="2025-03-12T14:18:00Z" w:initials="f">
    <w:p w14:paraId="3DB10A26" w14:textId="77777777" w:rsidR="0016217C" w:rsidRDefault="0016217C" w:rsidP="0016217C">
      <w:pPr>
        <w:jc w:val="left"/>
      </w:pPr>
      <w:r>
        <w:rPr>
          <w:rStyle w:val="CommentReference"/>
        </w:rPr>
        <w:annotationRef/>
      </w:r>
      <w:r>
        <w:rPr>
          <w:rFonts w:eastAsia="Times New Roman" w:cs="Times New Roman"/>
          <w:sz w:val="20"/>
          <w:szCs w:val="20"/>
          <w:lang w:val="en-GB" w:eastAsia="en-GB"/>
        </w:rPr>
        <w:t>Hersbach H, Bell B, Berrisford P, Hirahara S, Horányi A, Muñoz‐Sabater J, Nicolas J, Peubey C, Radu R, Schepers D, Simmons A. The ERA5 global reanalysis. Quarterly journal of the royal meteorological society. 2020 Jul;146(730):1999-2049.</w:t>
      </w:r>
    </w:p>
  </w:comment>
  <w:comment w:id="11" w:author="Federico Tartarini" w:date="2025-03-12T14:12:00Z" w:initials="f">
    <w:p w14:paraId="2F5FA840" w14:textId="77777777" w:rsidR="00552E1B" w:rsidRDefault="00552E1B" w:rsidP="00552E1B">
      <w:pPr>
        <w:jc w:val="left"/>
      </w:pPr>
      <w:r>
        <w:rPr>
          <w:rStyle w:val="CommentReference"/>
        </w:rPr>
        <w:annotationRef/>
      </w:r>
      <w:r>
        <w:rPr>
          <w:rFonts w:eastAsia="Times New Roman" w:cs="Times New Roman"/>
          <w:sz w:val="20"/>
          <w:szCs w:val="20"/>
          <w:lang w:val="en-GB" w:eastAsia="en-GB"/>
        </w:rPr>
        <w:t>de Perez EC, van Aalst M, Bischiniotis K, et al. Global predictability of temperature extremes. Environ Res Lett 2018; 13: 054017.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5F58AC" w15:done="0"/>
  <w15:commentEx w15:paraId="65D32ABA" w15:done="0"/>
  <w15:commentEx w15:paraId="4D518473" w15:done="0"/>
  <w15:commentEx w15:paraId="75EDF575" w15:done="0"/>
  <w15:commentEx w15:paraId="3DB10A26" w15:done="0"/>
  <w15:commentEx w15:paraId="2F5FA8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2990B3" w16cex:dateUtc="2025-03-10T11:58:00Z"/>
  <w16cex:commentExtensible w16cex:durableId="171CB16D" w16cex:dateUtc="2025-03-10T11:59:00Z"/>
  <w16cex:commentExtensible w16cex:durableId="243C3707" w16cex:dateUtc="2025-03-10T12:03:00Z"/>
  <w16cex:commentExtensible w16cex:durableId="0C030A79" w16cex:dateUtc="2025-03-12T03:17:00Z"/>
  <w16cex:commentExtensible w16cex:durableId="6DC8ABBC" w16cex:dateUtc="2025-03-12T03:18:00Z"/>
  <w16cex:commentExtensible w16cex:durableId="686768DE" w16cex:dateUtc="2025-03-12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5F58AC" w16cid:durableId="252990B3"/>
  <w16cid:commentId w16cid:paraId="65D32ABA" w16cid:durableId="171CB16D"/>
  <w16cid:commentId w16cid:paraId="4D518473" w16cid:durableId="243C3707"/>
  <w16cid:commentId w16cid:paraId="75EDF575" w16cid:durableId="0C030A79"/>
  <w16cid:commentId w16cid:paraId="3DB10A26" w16cid:durableId="6DC8ABBC"/>
  <w16cid:commentId w16cid:paraId="2F5FA840" w16cid:durableId="686768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144E3" w14:textId="77777777" w:rsidR="00794DA3" w:rsidRDefault="00794DA3" w:rsidP="00E97AEB">
      <w:pPr>
        <w:spacing w:before="0" w:after="0" w:line="240" w:lineRule="auto"/>
      </w:pPr>
      <w:r>
        <w:separator/>
      </w:r>
    </w:p>
  </w:endnote>
  <w:endnote w:type="continuationSeparator" w:id="0">
    <w:p w14:paraId="76AD3109" w14:textId="77777777" w:rsidR="00794DA3" w:rsidRDefault="00794DA3" w:rsidP="00E97AEB">
      <w:pPr>
        <w:spacing w:before="0" w:after="0" w:line="240" w:lineRule="auto"/>
      </w:pPr>
      <w:r>
        <w:continuationSeparator/>
      </w:r>
    </w:p>
  </w:endnote>
  <w:endnote w:type="continuationNotice" w:id="1">
    <w:p w14:paraId="060860E6" w14:textId="77777777" w:rsidR="00112EE1" w:rsidRDefault="00112EE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291AA" w14:textId="77777777" w:rsidR="00794DA3" w:rsidRDefault="00794DA3" w:rsidP="00E97AEB">
      <w:pPr>
        <w:spacing w:before="0" w:after="0" w:line="240" w:lineRule="auto"/>
      </w:pPr>
      <w:r>
        <w:separator/>
      </w:r>
    </w:p>
  </w:footnote>
  <w:footnote w:type="continuationSeparator" w:id="0">
    <w:p w14:paraId="4E9F6928" w14:textId="77777777" w:rsidR="00794DA3" w:rsidRDefault="00794DA3" w:rsidP="00E97AEB">
      <w:pPr>
        <w:spacing w:before="0" w:after="0" w:line="240" w:lineRule="auto"/>
      </w:pPr>
      <w:r>
        <w:continuationSeparator/>
      </w:r>
    </w:p>
  </w:footnote>
  <w:footnote w:type="continuationNotice" w:id="1">
    <w:p w14:paraId="04AD8A57" w14:textId="77777777" w:rsidR="00112EE1" w:rsidRDefault="00112EE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7230" w14:textId="0EBC565A" w:rsidR="00E97AEB" w:rsidRDefault="00E97AEB">
    <w:pPr>
      <w:pStyle w:val="Header"/>
    </w:pPr>
    <w:r>
      <w:t>TEMPLATE FOR SECTION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llie Jay">
    <w15:presenceInfo w15:providerId="AD" w15:userId="S::ollie.jay@sydney.edu.au::4adde0ff-a6bd-47a4-a814-1f0998167769"/>
  </w15:person>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224A6"/>
    <w:rsid w:val="00032671"/>
    <w:rsid w:val="00042BBD"/>
    <w:rsid w:val="00080617"/>
    <w:rsid w:val="00085DD2"/>
    <w:rsid w:val="000D16D9"/>
    <w:rsid w:val="00112EE1"/>
    <w:rsid w:val="00113030"/>
    <w:rsid w:val="00124B96"/>
    <w:rsid w:val="00152286"/>
    <w:rsid w:val="00155BAF"/>
    <w:rsid w:val="0016217C"/>
    <w:rsid w:val="001665A5"/>
    <w:rsid w:val="001C3CB4"/>
    <w:rsid w:val="001D34C5"/>
    <w:rsid w:val="001F65DA"/>
    <w:rsid w:val="002236D4"/>
    <w:rsid w:val="00260FDB"/>
    <w:rsid w:val="002641ED"/>
    <w:rsid w:val="002D5352"/>
    <w:rsid w:val="002E42DD"/>
    <w:rsid w:val="002F0FEA"/>
    <w:rsid w:val="003126CF"/>
    <w:rsid w:val="00322128"/>
    <w:rsid w:val="00344462"/>
    <w:rsid w:val="003469BA"/>
    <w:rsid w:val="00354126"/>
    <w:rsid w:val="003625F2"/>
    <w:rsid w:val="003775BF"/>
    <w:rsid w:val="00377E2F"/>
    <w:rsid w:val="003806CB"/>
    <w:rsid w:val="0038354A"/>
    <w:rsid w:val="00394E76"/>
    <w:rsid w:val="00423770"/>
    <w:rsid w:val="00492734"/>
    <w:rsid w:val="00496F9E"/>
    <w:rsid w:val="004B5A54"/>
    <w:rsid w:val="004B7FC7"/>
    <w:rsid w:val="004E5A9F"/>
    <w:rsid w:val="004F0172"/>
    <w:rsid w:val="00502BCF"/>
    <w:rsid w:val="00524C1A"/>
    <w:rsid w:val="00527534"/>
    <w:rsid w:val="00543741"/>
    <w:rsid w:val="0054462B"/>
    <w:rsid w:val="00552E1B"/>
    <w:rsid w:val="00555B54"/>
    <w:rsid w:val="0057271B"/>
    <w:rsid w:val="00591054"/>
    <w:rsid w:val="00597CB9"/>
    <w:rsid w:val="005A1F7B"/>
    <w:rsid w:val="005A44CA"/>
    <w:rsid w:val="005C0FCA"/>
    <w:rsid w:val="005C1976"/>
    <w:rsid w:val="005D70BD"/>
    <w:rsid w:val="006010F5"/>
    <w:rsid w:val="006B08FB"/>
    <w:rsid w:val="006C0222"/>
    <w:rsid w:val="006C4FA6"/>
    <w:rsid w:val="006E1485"/>
    <w:rsid w:val="006F7B74"/>
    <w:rsid w:val="00726CDE"/>
    <w:rsid w:val="00727849"/>
    <w:rsid w:val="00757903"/>
    <w:rsid w:val="00761E1A"/>
    <w:rsid w:val="00794DA3"/>
    <w:rsid w:val="007B1345"/>
    <w:rsid w:val="007D74D6"/>
    <w:rsid w:val="007E1BA8"/>
    <w:rsid w:val="007E752C"/>
    <w:rsid w:val="007E7CDB"/>
    <w:rsid w:val="007F0238"/>
    <w:rsid w:val="00804B15"/>
    <w:rsid w:val="008923AF"/>
    <w:rsid w:val="008C27F4"/>
    <w:rsid w:val="008C70C4"/>
    <w:rsid w:val="008E61ED"/>
    <w:rsid w:val="008E6989"/>
    <w:rsid w:val="00904F59"/>
    <w:rsid w:val="009155FC"/>
    <w:rsid w:val="00921504"/>
    <w:rsid w:val="009637EE"/>
    <w:rsid w:val="00986D2E"/>
    <w:rsid w:val="00A034D1"/>
    <w:rsid w:val="00A14466"/>
    <w:rsid w:val="00A3094C"/>
    <w:rsid w:val="00A61E37"/>
    <w:rsid w:val="00A64406"/>
    <w:rsid w:val="00A71E2A"/>
    <w:rsid w:val="00A91115"/>
    <w:rsid w:val="00A974DE"/>
    <w:rsid w:val="00AD6B25"/>
    <w:rsid w:val="00B13C4A"/>
    <w:rsid w:val="00B55913"/>
    <w:rsid w:val="00B77626"/>
    <w:rsid w:val="00B86DB6"/>
    <w:rsid w:val="00B951F4"/>
    <w:rsid w:val="00BA1450"/>
    <w:rsid w:val="00BA1B82"/>
    <w:rsid w:val="00BA3CD2"/>
    <w:rsid w:val="00BC1449"/>
    <w:rsid w:val="00BD43D9"/>
    <w:rsid w:val="00BD7581"/>
    <w:rsid w:val="00BE28CF"/>
    <w:rsid w:val="00C042F1"/>
    <w:rsid w:val="00C046B5"/>
    <w:rsid w:val="00C052CE"/>
    <w:rsid w:val="00C24422"/>
    <w:rsid w:val="00C60918"/>
    <w:rsid w:val="00C71A4A"/>
    <w:rsid w:val="00C74AD8"/>
    <w:rsid w:val="00C86888"/>
    <w:rsid w:val="00CA16AC"/>
    <w:rsid w:val="00CA774A"/>
    <w:rsid w:val="00CB67B2"/>
    <w:rsid w:val="00CF5763"/>
    <w:rsid w:val="00CF7E5C"/>
    <w:rsid w:val="00D34727"/>
    <w:rsid w:val="00D34AF1"/>
    <w:rsid w:val="00D64DF0"/>
    <w:rsid w:val="00D941D3"/>
    <w:rsid w:val="00DC7E0A"/>
    <w:rsid w:val="00E105E6"/>
    <w:rsid w:val="00E35D00"/>
    <w:rsid w:val="00E64124"/>
    <w:rsid w:val="00E97AEB"/>
    <w:rsid w:val="00F133E5"/>
    <w:rsid w:val="00F90965"/>
    <w:rsid w:val="00F909D3"/>
    <w:rsid w:val="00F947A7"/>
    <w:rsid w:val="00FA77FE"/>
    <w:rsid w:val="037D338B"/>
    <w:rsid w:val="10A63A1B"/>
    <w:rsid w:val="1244C84D"/>
    <w:rsid w:val="14984BD9"/>
    <w:rsid w:val="1CFBAB82"/>
    <w:rsid w:val="20D9F7B5"/>
    <w:rsid w:val="20E5D471"/>
    <w:rsid w:val="2329FCAA"/>
    <w:rsid w:val="2356C50E"/>
    <w:rsid w:val="23A2E1DB"/>
    <w:rsid w:val="26D760B1"/>
    <w:rsid w:val="2C623760"/>
    <w:rsid w:val="2DA02699"/>
    <w:rsid w:val="30350051"/>
    <w:rsid w:val="3073AB9E"/>
    <w:rsid w:val="3283ABE7"/>
    <w:rsid w:val="33106F73"/>
    <w:rsid w:val="3564323D"/>
    <w:rsid w:val="3594E0B5"/>
    <w:rsid w:val="36046D81"/>
    <w:rsid w:val="3CD0A002"/>
    <w:rsid w:val="46CF7992"/>
    <w:rsid w:val="4A30ED26"/>
    <w:rsid w:val="4A5260AE"/>
    <w:rsid w:val="4DF13CBF"/>
    <w:rsid w:val="4E478A78"/>
    <w:rsid w:val="500EE561"/>
    <w:rsid w:val="53BFB0BD"/>
    <w:rsid w:val="55ACE604"/>
    <w:rsid w:val="57A771B9"/>
    <w:rsid w:val="585789F7"/>
    <w:rsid w:val="5B073CDF"/>
    <w:rsid w:val="5B487B5E"/>
    <w:rsid w:val="5FBC5E17"/>
    <w:rsid w:val="600A1799"/>
    <w:rsid w:val="6166E22A"/>
    <w:rsid w:val="63F1A367"/>
    <w:rsid w:val="659F14FB"/>
    <w:rsid w:val="6A21AEC5"/>
    <w:rsid w:val="6DBDAD82"/>
    <w:rsid w:val="730EC838"/>
    <w:rsid w:val="73954CEC"/>
    <w:rsid w:val="797C9B3D"/>
    <w:rsid w:val="79E2D7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2F7CEF27-A3B2-41BB-BBE0-BE63152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 w:type="character" w:styleId="Mention">
    <w:name w:val="Mention"/>
    <w:basedOn w:val="DefaultParagraphFont"/>
    <w:uiPriority w:val="99"/>
    <w:unhideWhenUsed/>
    <w:rsid w:val="00892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94</cp:revision>
  <dcterms:created xsi:type="dcterms:W3CDTF">2024-12-14T08:56:00Z</dcterms:created>
  <dcterms:modified xsi:type="dcterms:W3CDTF">2025-03-12T03:21:00Z</dcterms:modified>
</cp:coreProperties>
</file>