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14E2A" w14:textId="14AA79AF" w:rsidR="00820BC6" w:rsidRPr="009835F4" w:rsidRDefault="00820BC6" w:rsidP="00820BC6">
      <w:pPr>
        <w:pStyle w:val="Heading1"/>
        <w:rPr>
          <w:rFonts w:asciiTheme="minorHAnsi" w:hAnsiTheme="minorHAnsi" w:cstheme="minorHAnsi"/>
        </w:rPr>
      </w:pPr>
      <w:r w:rsidRPr="009835F4">
        <w:rPr>
          <w:rFonts w:asciiTheme="minorHAnsi" w:hAnsiTheme="minorHAnsi" w:cstheme="minorHAnsi"/>
        </w:rPr>
        <w:t xml:space="preserve">Section </w:t>
      </w:r>
      <w:r w:rsidR="00E61A6F">
        <w:rPr>
          <w:rFonts w:asciiTheme="minorHAnsi" w:hAnsiTheme="minorHAnsi" w:cstheme="minorHAnsi"/>
        </w:rPr>
        <w:t>1</w:t>
      </w:r>
      <w:r w:rsidRPr="009835F4">
        <w:rPr>
          <w:rFonts w:asciiTheme="minorHAnsi" w:hAnsiTheme="minorHAnsi" w:cstheme="minorHAnsi"/>
        </w:rPr>
        <w:t xml:space="preserve">: </w:t>
      </w:r>
      <w:r w:rsidR="00E61A6F">
        <w:rPr>
          <w:rFonts w:asciiTheme="minorHAnsi" w:hAnsiTheme="minorHAnsi" w:cstheme="minorHAnsi"/>
        </w:rPr>
        <w:t>Health Hazards, Exposure, and Impact</w:t>
      </w:r>
    </w:p>
    <w:p w14:paraId="3DD07554" w14:textId="036EFE9D" w:rsidR="00820BC6" w:rsidRPr="009835F4" w:rsidRDefault="00E61A6F" w:rsidP="00820BC6">
      <w:pPr>
        <w:pStyle w:val="Heading2"/>
        <w:rPr>
          <w:rFonts w:asciiTheme="minorHAnsi" w:hAnsiTheme="minorHAnsi" w:cstheme="minorHAnsi"/>
        </w:rPr>
      </w:pPr>
      <w:bookmarkStart w:id="0" w:name="_Toc42252739"/>
      <w:bookmarkStart w:id="1" w:name="_Toc42252740"/>
      <w:r>
        <w:rPr>
          <w:rFonts w:asciiTheme="minorHAnsi" w:hAnsiTheme="minorHAnsi" w:cstheme="minorHAnsi"/>
        </w:rPr>
        <w:t>1.1</w:t>
      </w:r>
      <w:r w:rsidR="00820BC6" w:rsidRPr="009835F4">
        <w:rPr>
          <w:rFonts w:asciiTheme="minorHAnsi" w:hAnsiTheme="minorHAnsi" w:cstheme="minorHAnsi"/>
        </w:rPr>
        <w:t xml:space="preserve"> </w:t>
      </w:r>
      <w:r w:rsidR="002F4E26">
        <w:rPr>
          <w:rFonts w:asciiTheme="minorHAnsi" w:hAnsiTheme="minorHAnsi" w:cstheme="minorHAnsi"/>
        </w:rPr>
        <w:t>Health and heat</w:t>
      </w:r>
      <w:r w:rsidR="00820BC6" w:rsidRPr="009835F4">
        <w:rPr>
          <w:rFonts w:asciiTheme="minorHAnsi" w:hAnsiTheme="minorHAnsi" w:cstheme="minorHAnsi"/>
        </w:rPr>
        <w:t xml:space="preserve"> </w:t>
      </w:r>
    </w:p>
    <w:p w14:paraId="0131E9B7" w14:textId="245C75A0" w:rsidR="00820BC6" w:rsidRPr="009835F4" w:rsidRDefault="00820BC6" w:rsidP="00820BC6">
      <w:pPr>
        <w:pStyle w:val="Heading3"/>
        <w:rPr>
          <w:rFonts w:asciiTheme="minorHAnsi" w:hAnsiTheme="minorHAnsi" w:cstheme="minorHAnsi"/>
        </w:rPr>
      </w:pPr>
      <w:r w:rsidRPr="009835F4">
        <w:rPr>
          <w:rFonts w:asciiTheme="minorHAnsi" w:hAnsiTheme="minorHAnsi" w:cstheme="minorHAnsi"/>
        </w:rPr>
        <w:t xml:space="preserve">Indicator </w:t>
      </w:r>
      <w:r w:rsidR="002F4E26">
        <w:rPr>
          <w:rFonts w:asciiTheme="minorHAnsi" w:hAnsiTheme="minorHAnsi" w:cstheme="minorHAnsi"/>
        </w:rPr>
        <w:t>1.1.1</w:t>
      </w:r>
      <w:r w:rsidRPr="009835F4">
        <w:rPr>
          <w:rFonts w:asciiTheme="minorHAnsi" w:hAnsiTheme="minorHAnsi" w:cstheme="minorHAnsi"/>
        </w:rPr>
        <w:t xml:space="preserve">: </w:t>
      </w:r>
      <w:bookmarkEnd w:id="0"/>
      <w:r w:rsidR="002F4E26" w:rsidRPr="002F4E26">
        <w:rPr>
          <w:rFonts w:asciiTheme="minorHAnsi" w:hAnsiTheme="minorHAnsi" w:cstheme="minorHAnsi"/>
        </w:rPr>
        <w:t>exposure of vulnerable populations to heatwaves</w:t>
      </w:r>
      <w:r w:rsidRPr="009835F4">
        <w:rPr>
          <w:rFonts w:asciiTheme="minorHAnsi" w:hAnsiTheme="minorHAnsi" w:cstheme="minorHAnsi"/>
        </w:rPr>
        <w:t xml:space="preserve"> </w:t>
      </w:r>
    </w:p>
    <w:p w14:paraId="3DCD6864" w14:textId="77777777" w:rsidR="00650B60" w:rsidRDefault="00650B60" w:rsidP="00820BC6">
      <w:pPr>
        <w:pStyle w:val="Methodsheadings"/>
        <w:rPr>
          <w:rFonts w:asciiTheme="minorHAnsi" w:hAnsiTheme="minorHAnsi" w:cstheme="minorHAnsi"/>
          <w:sz w:val="24"/>
          <w:szCs w:val="28"/>
        </w:rPr>
      </w:pPr>
      <w:r>
        <w:rPr>
          <w:rFonts w:asciiTheme="minorHAnsi" w:hAnsiTheme="minorHAnsi" w:cstheme="minorHAnsi"/>
          <w:sz w:val="24"/>
          <w:szCs w:val="28"/>
        </w:rPr>
        <w:t xml:space="preserve">Indicator Authors </w:t>
      </w:r>
    </w:p>
    <w:p w14:paraId="56CF6E26" w14:textId="3B3DB730" w:rsidR="00650B60" w:rsidRPr="00650B60" w:rsidRDefault="00A12317" w:rsidP="00C573F2">
      <w:r>
        <w:t xml:space="preserve">Dr </w:t>
      </w:r>
      <w:r w:rsidR="00D1548D">
        <w:t>Federico Tartarini</w:t>
      </w:r>
      <w:r w:rsidR="00F85816">
        <w:t xml:space="preserve">, </w:t>
      </w:r>
      <w:r w:rsidR="00B90BF7">
        <w:t>Prof Ollie Jay</w:t>
      </w:r>
    </w:p>
    <w:p w14:paraId="72DFCEEB" w14:textId="0C2A88D1" w:rsidR="00820BC6" w:rsidRDefault="00820BC6" w:rsidP="00820BC6">
      <w:pPr>
        <w:pStyle w:val="Methodsheadings"/>
        <w:rPr>
          <w:rFonts w:asciiTheme="minorHAnsi" w:hAnsiTheme="minorHAnsi" w:cstheme="minorHAnsi"/>
          <w:sz w:val="24"/>
          <w:szCs w:val="28"/>
        </w:rPr>
      </w:pPr>
      <w:r w:rsidRPr="00FA7A06">
        <w:rPr>
          <w:rFonts w:asciiTheme="minorHAnsi" w:hAnsiTheme="minorHAnsi" w:cstheme="minorHAnsi"/>
          <w:sz w:val="24"/>
          <w:szCs w:val="28"/>
        </w:rPr>
        <w:t xml:space="preserve">Methods </w:t>
      </w:r>
    </w:p>
    <w:p w14:paraId="36EB76EB" w14:textId="6EC55833" w:rsidR="00490CDF" w:rsidRPr="00C573F2" w:rsidRDefault="00640DC4" w:rsidP="00820BC6">
      <w:pPr>
        <w:pStyle w:val="Methodsheadings"/>
        <w:rPr>
          <w:rFonts w:asciiTheme="minorHAnsi" w:hAnsiTheme="minorHAnsi" w:cstheme="minorHAnsi"/>
          <w:b w:val="0"/>
          <w:bCs/>
          <w:sz w:val="24"/>
          <w:szCs w:val="24"/>
          <w:u w:val="single"/>
        </w:rPr>
      </w:pPr>
      <w:r w:rsidRPr="00C573F2">
        <w:rPr>
          <w:rFonts w:asciiTheme="minorHAnsi" w:hAnsiTheme="minorHAnsi" w:cstheme="minorHAnsi"/>
          <w:b w:val="0"/>
          <w:bCs/>
          <w:sz w:val="24"/>
          <w:szCs w:val="24"/>
          <w:u w:val="single"/>
        </w:rPr>
        <w:t>Heatwave Indicator Definition and Methodology</w:t>
      </w:r>
    </w:p>
    <w:p w14:paraId="167FB916" w14:textId="194F9BA1" w:rsidR="00D7276D" w:rsidRPr="00D7276D" w:rsidRDefault="00D7276D" w:rsidP="00D7276D">
      <w:pPr>
        <w:rPr>
          <w:rFonts w:cstheme="minorHAnsi"/>
        </w:rPr>
      </w:pPr>
      <w:r w:rsidRPr="00D7276D">
        <w:rPr>
          <w:rFonts w:cstheme="minorHAnsi"/>
        </w:rPr>
        <w:t>The heatwave indicator defines a heatwave as a period of two or more consecutive days in which both the minimum and maximum temperatures exceed the 95th percentile of the local climatology, based on the 1986–2005 reference period. The indicator is designed to capture both direct heat stress from high maximum temperatures and the health risks associated with insufficient nighttime cooling due to elevated minimum temperatures.</w:t>
      </w:r>
    </w:p>
    <w:p w14:paraId="3CEC4879" w14:textId="76EA4F82" w:rsidR="00D7276D" w:rsidRPr="00D7276D" w:rsidRDefault="00D7276D" w:rsidP="00D7276D">
      <w:pPr>
        <w:rPr>
          <w:rFonts w:cstheme="minorHAnsi"/>
        </w:rPr>
      </w:pPr>
      <w:r w:rsidRPr="00D7276D">
        <w:rPr>
          <w:rFonts w:cstheme="minorHAnsi"/>
        </w:rPr>
        <w:t>To determine heatwaves, the 95</w:t>
      </w:r>
      <w:r w:rsidR="004E2600" w:rsidRPr="00C573F2">
        <w:rPr>
          <w:rFonts w:cstheme="minorHAnsi"/>
          <w:vertAlign w:val="superscript"/>
        </w:rPr>
        <w:t>th</w:t>
      </w:r>
      <w:r w:rsidRPr="00D7276D">
        <w:rPr>
          <w:rFonts w:cstheme="minorHAnsi"/>
        </w:rPr>
        <w:t xml:space="preserve"> percentile of daily minimum and maximum temperatures was computed using the European Centre for Medium-Range Weather Forecasts (ECMWF) ERA5 dataset, gridded at a 0.25° × 0.25° global resolution for the 1986–2005 baseline period. Based on this definition, the number of heatwave events and the total number of heatwave days per year were calculated for each year from 1980 to 2023.</w:t>
      </w:r>
    </w:p>
    <w:p w14:paraId="0500C253" w14:textId="7C8C8C3D" w:rsidR="00BA135A" w:rsidRPr="00C573F2" w:rsidRDefault="006A4E5A" w:rsidP="00820BC6">
      <w:pPr>
        <w:rPr>
          <w:rFonts w:cstheme="minorHAnsi"/>
          <w:bCs/>
          <w:u w:val="single"/>
          <w:lang w:val="en-AU"/>
        </w:rPr>
      </w:pPr>
      <w:r w:rsidRPr="00C573F2">
        <w:rPr>
          <w:rFonts w:cstheme="minorHAnsi"/>
          <w:bCs/>
          <w:u w:val="single"/>
          <w:lang w:val="en-AU"/>
        </w:rPr>
        <w:t>Vulnerable Populations and Exposure Calculation</w:t>
      </w:r>
    </w:p>
    <w:p w14:paraId="043EB564" w14:textId="70F18A67" w:rsidR="002F7927" w:rsidRPr="00C573F2" w:rsidRDefault="002F7927" w:rsidP="002F7927">
      <w:pPr>
        <w:rPr>
          <w:rFonts w:cstheme="minorHAnsi"/>
        </w:rPr>
      </w:pPr>
      <w:r w:rsidRPr="00C573F2">
        <w:rPr>
          <w:rFonts w:cstheme="minorHAnsi"/>
        </w:rPr>
        <w:t>Vulnerable populations are defined as individuals over 65 years of age</w:t>
      </w:r>
      <w:r w:rsidR="00787783">
        <w:rPr>
          <w:rFonts w:cstheme="minorHAnsi"/>
        </w:rPr>
        <w:t>, 75</w:t>
      </w:r>
      <w:r w:rsidR="00787783" w:rsidRPr="00C573F2">
        <w:rPr>
          <w:rFonts w:cstheme="minorHAnsi"/>
        </w:rPr>
        <w:t xml:space="preserve"> years of age</w:t>
      </w:r>
      <w:r w:rsidR="002920D7">
        <w:rPr>
          <w:rFonts w:cstheme="minorHAnsi"/>
        </w:rPr>
        <w:t>,</w:t>
      </w:r>
      <w:r w:rsidRPr="00C573F2">
        <w:rPr>
          <w:rFonts w:cstheme="minorHAnsi"/>
        </w:rPr>
        <w:t xml:space="preserve"> and infants under one year old, as these </w:t>
      </w:r>
      <w:r w:rsidR="00787783">
        <w:rPr>
          <w:rFonts w:cstheme="minorHAnsi"/>
        </w:rPr>
        <w:t xml:space="preserve">three </w:t>
      </w:r>
      <w:r w:rsidRPr="00C573F2">
        <w:rPr>
          <w:rFonts w:cstheme="minorHAnsi"/>
        </w:rPr>
        <w:t xml:space="preserve">groups are particularly susceptible to heat-related health impacts. </w:t>
      </w:r>
    </w:p>
    <w:p w14:paraId="3DD4AC34" w14:textId="6237DDEC" w:rsidR="002F7927" w:rsidRPr="00C573F2" w:rsidRDefault="00690AC1" w:rsidP="002F7927">
      <w:pPr>
        <w:rPr>
          <w:rFonts w:cstheme="minorHAnsi"/>
        </w:rPr>
      </w:pPr>
      <w:r w:rsidRPr="00C573F2">
        <w:rPr>
          <w:rFonts w:cstheme="minorHAnsi"/>
        </w:rPr>
        <w:t>Exposure is calculated using the person-days metric</w:t>
      </w:r>
      <w:r w:rsidR="002F7927" w:rsidRPr="00C573F2">
        <w:rPr>
          <w:rFonts w:cstheme="minorHAnsi"/>
        </w:rPr>
        <w:t xml:space="preserve">, which quantifies heatwave exposure by multiplying the number of heatwave days by the total vulnerable population. This approach </w:t>
      </w:r>
      <w:r w:rsidR="002F7927" w:rsidRPr="00C573F2">
        <w:rPr>
          <w:rFonts w:cstheme="minorHAnsi"/>
        </w:rPr>
        <w:lastRenderedPageBreak/>
        <w:t>ensures the indicator reflects changes in both heatwave frequency and duration, as well as demographic shifts that may increase the number of at-risk individuals.</w:t>
      </w:r>
    </w:p>
    <w:p w14:paraId="65AF6F54" w14:textId="415404D4" w:rsidR="002F7927" w:rsidRPr="00C573F2" w:rsidRDefault="002F7927" w:rsidP="002F7927">
      <w:pPr>
        <w:rPr>
          <w:rFonts w:cstheme="minorHAnsi"/>
        </w:rPr>
      </w:pPr>
      <w:r w:rsidRPr="00C573F2">
        <w:rPr>
          <w:rFonts w:cstheme="minorHAnsi"/>
        </w:rPr>
        <w:t xml:space="preserve">Global gridded demographic data from the </w:t>
      </w:r>
      <w:proofErr w:type="spellStart"/>
      <w:r w:rsidRPr="00C573F2">
        <w:rPr>
          <w:rFonts w:cstheme="minorHAnsi"/>
        </w:rPr>
        <w:t>WorldPop</w:t>
      </w:r>
      <w:proofErr w:type="spellEnd"/>
      <w:r w:rsidRPr="00C573F2">
        <w:rPr>
          <w:rFonts w:cstheme="minorHAnsi"/>
        </w:rPr>
        <w:t xml:space="preserve"> project, available at a 1 km × 1 km resolution for the period 2000–2020, was used to identify vulnerable populations</w:t>
      </w:r>
      <w:r w:rsidR="00C762B4" w:rsidRPr="00C573F2">
        <w:rPr>
          <w:rFonts w:cstheme="minorHAnsi"/>
        </w:rPr>
        <w:t>, based on the “top-down unconstrained approach”</w:t>
      </w:r>
      <w:r w:rsidRPr="00C573F2">
        <w:rPr>
          <w:rFonts w:cstheme="minorHAnsi"/>
        </w:rPr>
        <w:t xml:space="preserve">. For infants under one year old, separate datasets for males and females were aggregated at each grid point. For the </w:t>
      </w:r>
      <w:r w:rsidR="00862693">
        <w:rPr>
          <w:rFonts w:cstheme="minorHAnsi"/>
        </w:rPr>
        <w:t>older individuals</w:t>
      </w:r>
      <w:r w:rsidRPr="00C573F2">
        <w:rPr>
          <w:rFonts w:cstheme="minorHAnsi"/>
        </w:rPr>
        <w:t xml:space="preserve">, age groups were merged by summing </w:t>
      </w:r>
      <w:r w:rsidR="00862693">
        <w:rPr>
          <w:rFonts w:cstheme="minorHAnsi"/>
        </w:rPr>
        <w:t>the respective</w:t>
      </w:r>
      <w:r w:rsidRPr="00C573F2">
        <w:rPr>
          <w:rFonts w:cstheme="minorHAnsi"/>
        </w:rPr>
        <w:t xml:space="preserve"> datasets</w:t>
      </w:r>
      <w:r w:rsidR="00816786">
        <w:rPr>
          <w:rFonts w:cstheme="minorHAnsi"/>
        </w:rPr>
        <w:t>. For individuals over 75 years of age</w:t>
      </w:r>
      <w:r w:rsidRPr="00C573F2">
        <w:rPr>
          <w:rFonts w:cstheme="minorHAnsi"/>
        </w:rPr>
        <w:t xml:space="preserve"> </w:t>
      </w:r>
      <w:r w:rsidR="00816786">
        <w:rPr>
          <w:rFonts w:cstheme="minorHAnsi"/>
        </w:rPr>
        <w:t>we included the datasets</w:t>
      </w:r>
      <w:r w:rsidRPr="00C573F2">
        <w:rPr>
          <w:rFonts w:cstheme="minorHAnsi"/>
        </w:rPr>
        <w:t xml:space="preserve"> 75–80, and 80+</w:t>
      </w:r>
      <w:r w:rsidR="00816786">
        <w:rPr>
          <w:rFonts w:cstheme="minorHAnsi"/>
        </w:rPr>
        <w:t>, while</w:t>
      </w:r>
      <w:r w:rsidR="00C808C3">
        <w:rPr>
          <w:rFonts w:cstheme="minorHAnsi"/>
        </w:rPr>
        <w:t xml:space="preserve"> for individuals over 65 years of age</w:t>
      </w:r>
      <w:r w:rsidR="00816786">
        <w:rPr>
          <w:rFonts w:cstheme="minorHAnsi"/>
        </w:rPr>
        <w:t xml:space="preserve"> we also included the following datasets </w:t>
      </w:r>
      <w:r w:rsidR="00816786" w:rsidRPr="00C573F2">
        <w:rPr>
          <w:rFonts w:cstheme="minorHAnsi"/>
        </w:rPr>
        <w:t>65–70, 70–75</w:t>
      </w:r>
      <w:r w:rsidRPr="00C573F2">
        <w:rPr>
          <w:rFonts w:cstheme="minorHAnsi"/>
        </w:rPr>
        <w:t xml:space="preserve">. These aggregated datasets were then downscaled to match the ERA5 grid resolution (0.25° × 0.25°) by identifying the nearest </w:t>
      </w:r>
      <w:proofErr w:type="spellStart"/>
      <w:r w:rsidRPr="00C573F2">
        <w:rPr>
          <w:rFonts w:cstheme="minorHAnsi"/>
        </w:rPr>
        <w:t>neighbour</w:t>
      </w:r>
      <w:proofErr w:type="spellEnd"/>
      <w:r w:rsidRPr="00C573F2">
        <w:rPr>
          <w:rFonts w:cstheme="minorHAnsi"/>
        </w:rPr>
        <w:t xml:space="preserve"> for each ERA5 grid point and summing corresponding values.</w:t>
      </w:r>
    </w:p>
    <w:p w14:paraId="75AE0AB5" w14:textId="21C291B2" w:rsidR="00CC4DFA" w:rsidRDefault="002F7927" w:rsidP="002F7927">
      <w:pPr>
        <w:rPr>
          <w:rFonts w:cstheme="minorHAnsi"/>
        </w:rPr>
      </w:pPr>
      <w:r w:rsidRPr="00C573F2">
        <w:rPr>
          <w:rFonts w:cstheme="minorHAnsi"/>
        </w:rPr>
        <w:t xml:space="preserve">For historical demographic data prior to 2000, the Lancet Countdown 2023 dataset was used. This dataset was generated from the ISIMIP </w:t>
      </w:r>
      <w:proofErr w:type="spellStart"/>
      <w:r w:rsidRPr="00C573F2">
        <w:rPr>
          <w:rFonts w:cstheme="minorHAnsi"/>
        </w:rPr>
        <w:t>Histsoc</w:t>
      </w:r>
      <w:proofErr w:type="spellEnd"/>
      <w:r w:rsidRPr="00C573F2">
        <w:rPr>
          <w:rFonts w:cstheme="minorHAnsi"/>
        </w:rPr>
        <w:t xml:space="preserve"> dataset and resampled to a 0.25° × 0.25° resolution using a 2D linear interpolation method that incorporates population densities and NASA GPWv4 land area data. </w:t>
      </w:r>
      <w:r w:rsidR="00CC4DFA">
        <w:rPr>
          <w:rFonts w:cstheme="minorHAnsi"/>
        </w:rPr>
        <w:t xml:space="preserve">This dataset only contains data for individuals over 65 years of age. Hence, we </w:t>
      </w:r>
      <w:r w:rsidR="00CD4600">
        <w:rPr>
          <w:rFonts w:cstheme="minorHAnsi"/>
        </w:rPr>
        <w:t>were only able to calculate the exposure of individuals above 75</w:t>
      </w:r>
      <w:r w:rsidR="002F2225">
        <w:rPr>
          <w:rFonts w:cstheme="minorHAnsi"/>
        </w:rPr>
        <w:t xml:space="preserve"> years of age </w:t>
      </w:r>
      <w:r w:rsidR="00446BD7">
        <w:rPr>
          <w:rFonts w:cstheme="minorHAnsi"/>
        </w:rPr>
        <w:t>from the year 2000</w:t>
      </w:r>
      <w:r w:rsidR="002F2225">
        <w:rPr>
          <w:rFonts w:cstheme="minorHAnsi"/>
        </w:rPr>
        <w:t>.</w:t>
      </w:r>
    </w:p>
    <w:p w14:paraId="164EC7B4" w14:textId="464239BE" w:rsidR="002F7927" w:rsidRDefault="002F7927" w:rsidP="002F7927">
      <w:pPr>
        <w:rPr>
          <w:rFonts w:cstheme="minorHAnsi"/>
        </w:rPr>
      </w:pPr>
      <w:r w:rsidRPr="00C573F2">
        <w:rPr>
          <w:rFonts w:cstheme="minorHAnsi"/>
        </w:rPr>
        <w:t>Post-2020 population projections were estimated using linear interpolation at each grid point. Given the discontinuity in population datasets across time periods</w:t>
      </w:r>
      <w:r w:rsidR="00A65B4E" w:rsidRPr="00C573F2">
        <w:rPr>
          <w:rFonts w:cstheme="minorHAnsi"/>
        </w:rPr>
        <w:t xml:space="preserve"> (pre and post 2000)</w:t>
      </w:r>
      <w:r w:rsidRPr="00C573F2">
        <w:rPr>
          <w:rFonts w:cstheme="minorHAnsi"/>
        </w:rPr>
        <w:t>, direct comparisons of population changes were avoided. Instead, the analysis focuses on changes in exposure to heatwaves, mitigating inconsistencies in demographic data across different sources.</w:t>
      </w:r>
    </w:p>
    <w:p w14:paraId="724C50A8" w14:textId="554D353F" w:rsidR="00590615" w:rsidRPr="00C573F2" w:rsidRDefault="006B7145" w:rsidP="002F7927">
      <w:pPr>
        <w:rPr>
          <w:rFonts w:cstheme="minorHAnsi"/>
        </w:rPr>
      </w:pPr>
      <w:r w:rsidRPr="006B7145">
        <w:rPr>
          <w:rFonts w:cstheme="minorHAnsi"/>
        </w:rPr>
        <w:t xml:space="preserve">The </w:t>
      </w:r>
      <w:proofErr w:type="spellStart"/>
      <w:r w:rsidRPr="006B7145">
        <w:rPr>
          <w:rFonts w:cstheme="minorHAnsi"/>
        </w:rPr>
        <w:t>WorldPop</w:t>
      </w:r>
      <w:proofErr w:type="spellEnd"/>
      <w:r w:rsidRPr="006B7145">
        <w:rPr>
          <w:rFonts w:cstheme="minorHAnsi"/>
        </w:rPr>
        <w:t xml:space="preserve"> methodology combines census data, surveys, and remote sensing, though data quality and timelines vary by region. In areas with limited data or political instability, the approach relies more heavily on modelling.</w:t>
      </w:r>
    </w:p>
    <w:p w14:paraId="75D2AED3" w14:textId="34402F17" w:rsidR="006A4E5A" w:rsidRPr="00C573F2" w:rsidRDefault="00C55824" w:rsidP="00820BC6">
      <w:pPr>
        <w:rPr>
          <w:rFonts w:cstheme="minorHAnsi"/>
          <w:bCs/>
          <w:u w:val="single"/>
          <w:lang w:val="en-AU"/>
        </w:rPr>
      </w:pPr>
      <w:r w:rsidRPr="00C573F2">
        <w:rPr>
          <w:rFonts w:cstheme="minorHAnsi"/>
          <w:bCs/>
          <w:u w:val="single"/>
          <w:lang w:val="en-AU"/>
        </w:rPr>
        <w:t xml:space="preserve">Code and </w:t>
      </w:r>
      <w:r w:rsidR="00F32C4F" w:rsidRPr="00C573F2">
        <w:rPr>
          <w:rFonts w:cstheme="minorHAnsi"/>
          <w:bCs/>
          <w:u w:val="single"/>
          <w:lang w:val="en-AU"/>
        </w:rPr>
        <w:t>resources to reproduce the results</w:t>
      </w:r>
    </w:p>
    <w:p w14:paraId="0F120B7B" w14:textId="00B8E038" w:rsidR="00820BC6" w:rsidRPr="00C573F2" w:rsidRDefault="00D1548D" w:rsidP="00820BC6">
      <w:pPr>
        <w:rPr>
          <w:rFonts w:cstheme="minorHAnsi"/>
        </w:rPr>
      </w:pPr>
      <w:r w:rsidRPr="00C573F2">
        <w:rPr>
          <w:rFonts w:cstheme="minorHAnsi"/>
        </w:rPr>
        <w:lastRenderedPageBreak/>
        <w:t>The results were generated usin</w:t>
      </w:r>
      <w:r w:rsidR="006B4BF6" w:rsidRPr="00C573F2">
        <w:rPr>
          <w:rFonts w:cstheme="minorHAnsi"/>
        </w:rPr>
        <w:t xml:space="preserve">g Python, a copy of the code is available in this public repository </w:t>
      </w:r>
      <w:r w:rsidR="00C957DA" w:rsidRPr="00C957DA">
        <w:rPr>
          <w:rFonts w:cstheme="minorHAnsi"/>
        </w:rPr>
        <w:t>https://github.com/FedericoTartarini/paper-lancet-countdown-global</w:t>
      </w:r>
      <w:r w:rsidR="00FA7A06" w:rsidRPr="00C573F2">
        <w:rPr>
          <w:rFonts w:cstheme="minorHAnsi"/>
        </w:rPr>
        <w:t xml:space="preserve">. </w:t>
      </w:r>
      <w:r w:rsidR="004E2CAC" w:rsidRPr="00C573F2">
        <w:rPr>
          <w:rFonts w:cstheme="minorHAnsi"/>
        </w:rPr>
        <w:t xml:space="preserve">Users who want to reproduce the </w:t>
      </w:r>
      <w:r w:rsidR="00F52B41">
        <w:rPr>
          <w:rFonts w:cstheme="minorHAnsi"/>
        </w:rPr>
        <w:t>results</w:t>
      </w:r>
      <w:r w:rsidR="004E2CAC" w:rsidRPr="00C573F2">
        <w:rPr>
          <w:rFonts w:cstheme="minorHAnsi"/>
        </w:rPr>
        <w:t xml:space="preserve"> will </w:t>
      </w:r>
      <w:r w:rsidR="000D6577">
        <w:rPr>
          <w:rFonts w:cstheme="minorHAnsi"/>
        </w:rPr>
        <w:t xml:space="preserve">first </w:t>
      </w:r>
      <w:r w:rsidR="004E2CAC" w:rsidRPr="00C573F2">
        <w:rPr>
          <w:rFonts w:cstheme="minorHAnsi"/>
        </w:rPr>
        <w:t xml:space="preserve">need to download the </w:t>
      </w:r>
      <w:r w:rsidR="00747627" w:rsidRPr="00C573F2">
        <w:rPr>
          <w:rFonts w:cstheme="minorHAnsi"/>
        </w:rPr>
        <w:t>datasets listed below</w:t>
      </w:r>
      <w:r w:rsidR="000D6577">
        <w:rPr>
          <w:rFonts w:cstheme="minorHAnsi"/>
        </w:rPr>
        <w:t>. Then</w:t>
      </w:r>
      <w:r w:rsidR="00747627" w:rsidRPr="00C573F2">
        <w:rPr>
          <w:rFonts w:cstheme="minorHAnsi"/>
        </w:rPr>
        <w:t xml:space="preserve"> </w:t>
      </w:r>
      <w:r w:rsidR="000D6577">
        <w:rPr>
          <w:rFonts w:cstheme="minorHAnsi"/>
        </w:rPr>
        <w:t>they</w:t>
      </w:r>
      <w:r w:rsidR="00747627" w:rsidRPr="00C573F2">
        <w:rPr>
          <w:rFonts w:cstheme="minorHAnsi"/>
        </w:rPr>
        <w:t xml:space="preserve"> can use </w:t>
      </w:r>
      <w:r w:rsidR="000D6577">
        <w:rPr>
          <w:rFonts w:cstheme="minorHAnsi"/>
        </w:rPr>
        <w:t>the</w:t>
      </w:r>
      <w:r w:rsidR="00747627" w:rsidRPr="00C573F2">
        <w:rPr>
          <w:rFonts w:cstheme="minorHAnsi"/>
        </w:rPr>
        <w:t xml:space="preserve"> code to reproduce the results</w:t>
      </w:r>
      <w:r w:rsidR="000124EE" w:rsidRPr="00C573F2">
        <w:rPr>
          <w:rFonts w:cstheme="minorHAnsi"/>
        </w:rPr>
        <w:t>, please refer to the README file</w:t>
      </w:r>
      <w:r w:rsidR="000D6577">
        <w:rPr>
          <w:rFonts w:cstheme="minorHAnsi"/>
        </w:rPr>
        <w:t xml:space="preserve"> in the public repo</w:t>
      </w:r>
      <w:r w:rsidR="00936B7B">
        <w:rPr>
          <w:rFonts w:cstheme="minorHAnsi"/>
        </w:rPr>
        <w:t>sitory</w:t>
      </w:r>
      <w:r w:rsidR="000124EE" w:rsidRPr="00C573F2">
        <w:rPr>
          <w:rFonts w:cstheme="minorHAnsi"/>
        </w:rPr>
        <w:t xml:space="preserve"> </w:t>
      </w:r>
      <w:r w:rsidR="00936B7B">
        <w:rPr>
          <w:rFonts w:cstheme="minorHAnsi"/>
        </w:rPr>
        <w:t>which contains</w:t>
      </w:r>
      <w:r w:rsidR="000124EE" w:rsidRPr="00C573F2">
        <w:rPr>
          <w:rFonts w:cstheme="minorHAnsi"/>
        </w:rPr>
        <w:t xml:space="preserve"> detailed instructions on how to run the Python code.</w:t>
      </w:r>
      <w:r w:rsidR="004E2CAC" w:rsidRPr="00C573F2">
        <w:rPr>
          <w:rFonts w:cstheme="minorHAnsi"/>
        </w:rPr>
        <w:t xml:space="preserve"> </w:t>
      </w:r>
    </w:p>
    <w:p w14:paraId="70BDB34E" w14:textId="79777AE5" w:rsidR="00820BC6" w:rsidRPr="00FA7A06" w:rsidRDefault="00820BC6" w:rsidP="00E20638">
      <w:pPr>
        <w:pStyle w:val="Methodsheadings"/>
        <w:rPr>
          <w:sz w:val="22"/>
        </w:rPr>
      </w:pPr>
      <w:r w:rsidRPr="00FA7A06">
        <w:rPr>
          <w:rFonts w:asciiTheme="minorHAnsi" w:hAnsiTheme="minorHAnsi" w:cstheme="minorHAnsi"/>
          <w:sz w:val="24"/>
          <w:szCs w:val="28"/>
        </w:rPr>
        <w:t xml:space="preserve">Data </w:t>
      </w:r>
    </w:p>
    <w:p w14:paraId="4A1AFCAC" w14:textId="5D42025D" w:rsidR="00FA7A06" w:rsidRPr="00C573F2" w:rsidRDefault="00E20638" w:rsidP="00FA7A06">
      <w:pPr>
        <w:pStyle w:val="ListParagraph"/>
        <w:numPr>
          <w:ilvl w:val="0"/>
          <w:numId w:val="4"/>
        </w:numPr>
      </w:pPr>
      <w:r w:rsidRPr="00C573F2">
        <w:rPr>
          <w:b/>
          <w:bCs/>
        </w:rPr>
        <w:t>Climate Data</w:t>
      </w:r>
      <w:r w:rsidRPr="00C573F2">
        <w:t>: ECMWF ERA5 reanalysis dataset</w:t>
      </w:r>
      <w:r w:rsidR="00FA7A06" w:rsidRPr="00C573F2">
        <w:t xml:space="preserve"> </w:t>
      </w:r>
    </w:p>
    <w:p w14:paraId="79796B9D" w14:textId="77777777" w:rsidR="00790491" w:rsidRPr="00C573F2" w:rsidRDefault="00790491" w:rsidP="00FA7A06">
      <w:pPr>
        <w:pStyle w:val="ListParagraph"/>
        <w:numPr>
          <w:ilvl w:val="0"/>
          <w:numId w:val="4"/>
        </w:numPr>
      </w:pPr>
      <w:r w:rsidRPr="00C573F2">
        <w:rPr>
          <w:b/>
          <w:bCs/>
        </w:rPr>
        <w:t>Demographic Data (1980–2000)</w:t>
      </w:r>
      <w:r w:rsidRPr="00C573F2">
        <w:t>: Hybrid gridded demographic dataset from the Lancet Countdown 2023 (0.25° resolution)</w:t>
      </w:r>
    </w:p>
    <w:p w14:paraId="7AA96CAC" w14:textId="2F6A4EBB" w:rsidR="00FA7A06" w:rsidRPr="00C573F2" w:rsidRDefault="00E175D7" w:rsidP="00FA7A06">
      <w:pPr>
        <w:pStyle w:val="ListParagraph"/>
        <w:numPr>
          <w:ilvl w:val="0"/>
          <w:numId w:val="4"/>
        </w:numPr>
      </w:pPr>
      <w:r w:rsidRPr="00C573F2">
        <w:rPr>
          <w:b/>
          <w:bCs/>
        </w:rPr>
        <w:t>Demographic Data (2000–2020):</w:t>
      </w:r>
      <w:r w:rsidRPr="00C573F2">
        <w:t xml:space="preserve"> </w:t>
      </w:r>
      <w:proofErr w:type="spellStart"/>
      <w:r w:rsidRPr="00C573F2">
        <w:t>WorldPop</w:t>
      </w:r>
      <w:proofErr w:type="spellEnd"/>
      <w:r w:rsidRPr="00C573F2">
        <w:t xml:space="preserve"> Age and Sex Structure Unconstrained Global Mosaic</w:t>
      </w:r>
    </w:p>
    <w:p w14:paraId="3894AED9" w14:textId="77777777" w:rsidR="00820BC6" w:rsidRPr="00FA7A06" w:rsidRDefault="00820BC6" w:rsidP="00820BC6">
      <w:pPr>
        <w:pStyle w:val="Methodsheadings"/>
        <w:rPr>
          <w:rFonts w:asciiTheme="minorHAnsi" w:hAnsiTheme="minorHAnsi" w:cstheme="minorHAnsi"/>
          <w:sz w:val="24"/>
          <w:szCs w:val="28"/>
        </w:rPr>
      </w:pPr>
      <w:r w:rsidRPr="00FA7A06">
        <w:rPr>
          <w:rFonts w:asciiTheme="minorHAnsi" w:hAnsiTheme="minorHAnsi" w:cstheme="minorHAnsi"/>
          <w:sz w:val="24"/>
          <w:szCs w:val="28"/>
        </w:rPr>
        <w:t xml:space="preserve">Caveats </w:t>
      </w:r>
    </w:p>
    <w:p w14:paraId="42A784E8" w14:textId="539687D0" w:rsidR="00515FC9" w:rsidRPr="00515FC9" w:rsidRDefault="00515FC9" w:rsidP="00C573F2">
      <w:r w:rsidRPr="00515FC9">
        <w:t>To ensure consistency over time, data from multiple sources were integrated to capture both spatial and temporal demographic trends. However, validation of this integrated dataset is limited. In regions with sparse demographic data or shifting political boundaries, inconsistencies may arise in the spatial distribution of populations. For example, the division of Sudan is reflected in the dataset as missing or incomplete information for infant populations, illustrating the challenges of maintaining demographic continuity in dynamically changing regions.</w:t>
      </w:r>
    </w:p>
    <w:p w14:paraId="3B0489E2" w14:textId="2F6B101E" w:rsidR="00820BC6" w:rsidRPr="00FA7A06" w:rsidRDefault="00515FC9" w:rsidP="00C573F2">
      <w:proofErr w:type="spellStart"/>
      <w:r w:rsidRPr="00515FC9">
        <w:t>WorldPop’s</w:t>
      </w:r>
      <w:proofErr w:type="spellEnd"/>
      <w:r w:rsidRPr="00515FC9">
        <w:t xml:space="preserve"> "top-down unconstrained" approach was used for population mapping. This method estimates population distribution without restricting allocation to residential areas, unlike the "constrained" approach, which relies on satellite imagery to identify inhabited locations. While this method ensures continuous coverage across all land areas, it may overestimate populations in low-density regions and underestimate them in high-density areas.</w:t>
      </w:r>
      <w:r w:rsidR="00FA7A06">
        <w:t xml:space="preserve"> </w:t>
      </w:r>
    </w:p>
    <w:p w14:paraId="382A6EC8" w14:textId="77777777" w:rsidR="00820BC6" w:rsidRPr="00FA7A06" w:rsidRDefault="00820BC6" w:rsidP="00820BC6">
      <w:pPr>
        <w:pStyle w:val="Methodsheadings"/>
        <w:rPr>
          <w:rFonts w:asciiTheme="minorHAnsi" w:hAnsiTheme="minorHAnsi" w:cstheme="minorHAnsi"/>
          <w:sz w:val="24"/>
          <w:szCs w:val="28"/>
        </w:rPr>
      </w:pPr>
      <w:r w:rsidRPr="00FA7A06">
        <w:rPr>
          <w:rFonts w:asciiTheme="minorHAnsi" w:hAnsiTheme="minorHAnsi" w:cstheme="minorHAnsi"/>
          <w:sz w:val="24"/>
          <w:szCs w:val="28"/>
        </w:rPr>
        <w:t>Future form of the indicator</w:t>
      </w:r>
    </w:p>
    <w:p w14:paraId="4EE8B3AA" w14:textId="6A1F4C5A" w:rsidR="00820BC6" w:rsidRPr="00FA7A06" w:rsidRDefault="00314AF0" w:rsidP="00C573F2">
      <w:commentRangeStart w:id="2"/>
      <w:r>
        <w:t>Discuss with Ollie</w:t>
      </w:r>
      <w:commentRangeEnd w:id="2"/>
      <w:r w:rsidR="005567DC">
        <w:rPr>
          <w:rStyle w:val="CommentReference"/>
          <w:rFonts w:eastAsia="Times New Roman" w:cs="Times New Roman"/>
          <w:lang w:val="en-GB" w:eastAsia="en-GB"/>
        </w:rPr>
        <w:commentReference w:id="2"/>
      </w:r>
    </w:p>
    <w:p w14:paraId="504165C3" w14:textId="77777777" w:rsidR="00820BC6" w:rsidRDefault="00820BC6" w:rsidP="00820BC6">
      <w:pPr>
        <w:pStyle w:val="Methodsheadings"/>
        <w:rPr>
          <w:rFonts w:asciiTheme="minorHAnsi" w:hAnsiTheme="minorHAnsi" w:cstheme="minorHAnsi"/>
          <w:sz w:val="24"/>
          <w:szCs w:val="28"/>
        </w:rPr>
      </w:pPr>
      <w:r w:rsidRPr="00FA7A06">
        <w:rPr>
          <w:rFonts w:asciiTheme="minorHAnsi" w:hAnsiTheme="minorHAnsi" w:cstheme="minorHAnsi"/>
          <w:sz w:val="24"/>
          <w:szCs w:val="28"/>
        </w:rPr>
        <w:t>Additional analysis</w:t>
      </w:r>
    </w:p>
    <w:p w14:paraId="63E012B8" w14:textId="53EE783C" w:rsidR="00DE5F7B" w:rsidRDefault="003C4FCB" w:rsidP="00C573F2">
      <w:r>
        <w:lastRenderedPageBreak/>
        <w:fldChar w:fldCharType="begin"/>
      </w:r>
      <w:r>
        <w:instrText xml:space="preserve"> REF _Ref191395287 \h </w:instrText>
      </w:r>
      <w:r>
        <w:fldChar w:fldCharType="separate"/>
      </w:r>
      <w:r>
        <w:t xml:space="preserve">Figure </w:t>
      </w:r>
      <w:r>
        <w:rPr>
          <w:noProof/>
        </w:rPr>
        <w:t>1</w:t>
      </w:r>
      <w:r>
        <w:fldChar w:fldCharType="end"/>
      </w:r>
      <w:r>
        <w:t xml:space="preserve"> </w:t>
      </w:r>
      <w:r w:rsidR="00C573F2" w:rsidRPr="00C573F2">
        <w:t>illustrates the change in the number of heatwave days in 202</w:t>
      </w:r>
      <w:r w:rsidR="005567DC">
        <w:t>4</w:t>
      </w:r>
      <w:r w:rsidR="00C573F2" w:rsidRPr="00C573F2">
        <w:t xml:space="preserve"> compared to the baseline period, highlighting intense events across </w:t>
      </w:r>
      <w:r w:rsidR="00D814ED">
        <w:t>the Americas</w:t>
      </w:r>
      <w:r w:rsidR="00C573F2" w:rsidRPr="00C573F2">
        <w:t xml:space="preserve">, </w:t>
      </w:r>
      <w:r w:rsidR="00D814ED">
        <w:t xml:space="preserve">Africa, </w:t>
      </w:r>
      <w:r w:rsidR="00C573F2" w:rsidRPr="00C573F2">
        <w:t>Central and Eastern Europe</w:t>
      </w:r>
      <w:r w:rsidR="002F634B">
        <w:t xml:space="preserve">, the Middle East, East and </w:t>
      </w:r>
      <w:r w:rsidR="002F634B">
        <w:rPr>
          <w:lang w:val="x-none"/>
        </w:rPr>
        <w:t>Southeast Asia</w:t>
      </w:r>
      <w:r w:rsidR="00903968">
        <w:rPr>
          <w:lang w:val="x-none"/>
        </w:rPr>
        <w:t>, and Central Asia</w:t>
      </w:r>
      <w:r w:rsidR="002F634B">
        <w:t>.</w:t>
      </w:r>
      <w:r w:rsidR="00C573F2" w:rsidRPr="00C573F2">
        <w:t xml:space="preserve"> </w:t>
      </w:r>
    </w:p>
    <w:bookmarkEnd w:id="1"/>
    <w:p w14:paraId="718D52E8" w14:textId="77777777" w:rsidR="0002314F" w:rsidRDefault="00F449E2" w:rsidP="0002314F">
      <w:pPr>
        <w:keepNext/>
      </w:pPr>
      <w:r>
        <w:rPr>
          <w:noProof/>
        </w:rPr>
        <w:drawing>
          <wp:inline distT="0" distB="0" distL="0" distR="0" wp14:anchorId="3E25B9E2" wp14:editId="32613795">
            <wp:extent cx="5943600" cy="3442970"/>
            <wp:effectExtent l="0" t="0" r="0" b="0"/>
            <wp:docPr id="553321060" name="Picture 2"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21060" name="Picture 2" descr="A map of the world&#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42970"/>
                    </a:xfrm>
                    <a:prstGeom prst="rect">
                      <a:avLst/>
                    </a:prstGeom>
                  </pic:spPr>
                </pic:pic>
              </a:graphicData>
            </a:graphic>
          </wp:inline>
        </w:drawing>
      </w:r>
    </w:p>
    <w:p w14:paraId="0997D6AF" w14:textId="3F377D3C" w:rsidR="003806CB" w:rsidRDefault="0002314F" w:rsidP="005F5B1E">
      <w:pPr>
        <w:pStyle w:val="Caption"/>
      </w:pPr>
      <w:bookmarkStart w:id="4" w:name="_Ref191395287"/>
      <w:r>
        <w:t xml:space="preserve">Figure </w:t>
      </w:r>
      <w:r>
        <w:fldChar w:fldCharType="begin"/>
      </w:r>
      <w:r>
        <w:instrText xml:space="preserve"> SEQ Figure \* ARABIC </w:instrText>
      </w:r>
      <w:r>
        <w:fldChar w:fldCharType="separate"/>
      </w:r>
      <w:r w:rsidR="00E63A03">
        <w:rPr>
          <w:noProof/>
        </w:rPr>
        <w:t>1</w:t>
      </w:r>
      <w:r>
        <w:fldChar w:fldCharType="end"/>
      </w:r>
      <w:bookmarkEnd w:id="4"/>
      <w:r>
        <w:t>. Map depicting the change in the number of heatwave days over land in 2023 compared to the 1986–2005 baseline.</w:t>
      </w:r>
    </w:p>
    <w:p w14:paraId="366FADE6" w14:textId="04FAC0F9" w:rsidR="000F04FC" w:rsidRDefault="00706CBF" w:rsidP="00DE5F7B">
      <w:r w:rsidRPr="00706CBF">
        <w:t>The total number of heatwave days experienced annually by individuals in vulnerable age groups rose by 52% in 2024. Older adults (65+) endured a record 17.6 billion person-days of heatwaves, while infants under one year experienced 2.9 billion person-days, as illustrated in</w:t>
      </w:r>
      <w:r w:rsidR="00F17C74">
        <w:t xml:space="preserve"> </w:t>
      </w:r>
      <w:r w:rsidR="008E578F">
        <w:fldChar w:fldCharType="begin"/>
      </w:r>
      <w:r w:rsidR="008E578F">
        <w:instrText xml:space="preserve"> REF _Ref191905945 \h </w:instrText>
      </w:r>
      <w:r w:rsidR="008E578F">
        <w:fldChar w:fldCharType="separate"/>
      </w:r>
      <w:r w:rsidR="008E578F">
        <w:t xml:space="preserve">Figure </w:t>
      </w:r>
      <w:r w:rsidR="008E578F">
        <w:rPr>
          <w:noProof/>
        </w:rPr>
        <w:t>2</w:t>
      </w:r>
      <w:r w:rsidR="008E578F">
        <w:fldChar w:fldCharType="end"/>
      </w:r>
      <w:r w:rsidR="008E578F">
        <w:t>.</w:t>
      </w:r>
    </w:p>
    <w:p w14:paraId="1B565356" w14:textId="7DE2806A" w:rsidR="00F17C74" w:rsidRDefault="00FB3E48" w:rsidP="00F17C74">
      <w:pPr>
        <w:keepNext/>
      </w:pPr>
      <w:commentRangeStart w:id="5"/>
      <w:commentRangeStart w:id="6"/>
      <w:r>
        <w:rPr>
          <w:noProof/>
        </w:rPr>
        <w:lastRenderedPageBreak/>
        <w:drawing>
          <wp:inline distT="0" distB="0" distL="0" distR="0" wp14:anchorId="75655153" wp14:editId="204C5516">
            <wp:extent cx="5854700" cy="4394200"/>
            <wp:effectExtent l="0" t="0" r="0" b="0"/>
            <wp:docPr id="866780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80913" name="Picture 866780913"/>
                    <pic:cNvPicPr/>
                  </pic:nvPicPr>
                  <pic:blipFill>
                    <a:blip r:embed="rId13"/>
                    <a:stretch>
                      <a:fillRect/>
                    </a:stretch>
                  </pic:blipFill>
                  <pic:spPr>
                    <a:xfrm>
                      <a:off x="0" y="0"/>
                      <a:ext cx="5854700" cy="4394200"/>
                    </a:xfrm>
                    <a:prstGeom prst="rect">
                      <a:avLst/>
                    </a:prstGeom>
                  </pic:spPr>
                </pic:pic>
              </a:graphicData>
            </a:graphic>
          </wp:inline>
        </w:drawing>
      </w:r>
      <w:commentRangeEnd w:id="5"/>
      <w:r w:rsidR="006A7334">
        <w:rPr>
          <w:rStyle w:val="CommentReference"/>
          <w:rFonts w:eastAsia="Times New Roman" w:cs="Times New Roman"/>
          <w:lang w:val="en-GB" w:eastAsia="en-GB"/>
        </w:rPr>
        <w:commentReference w:id="5"/>
      </w:r>
      <w:commentRangeEnd w:id="6"/>
      <w:r w:rsidR="00676535">
        <w:rPr>
          <w:rStyle w:val="CommentReference"/>
          <w:rFonts w:eastAsia="Times New Roman" w:cs="Times New Roman"/>
          <w:lang w:val="en-GB" w:eastAsia="en-GB"/>
        </w:rPr>
        <w:commentReference w:id="6"/>
      </w:r>
    </w:p>
    <w:p w14:paraId="466AFBF4" w14:textId="7CE8C1A8" w:rsidR="004E2AEA" w:rsidRDefault="00F17C74" w:rsidP="005F5B1E">
      <w:pPr>
        <w:pStyle w:val="Caption"/>
      </w:pPr>
      <w:bookmarkStart w:id="8" w:name="_Ref191905945"/>
      <w:r>
        <w:t xml:space="preserve">Figure </w:t>
      </w:r>
      <w:r>
        <w:fldChar w:fldCharType="begin"/>
      </w:r>
      <w:r>
        <w:instrText xml:space="preserve"> SEQ Figure \* ARABIC </w:instrText>
      </w:r>
      <w:r>
        <w:fldChar w:fldCharType="separate"/>
      </w:r>
      <w:r w:rsidR="00E63A03">
        <w:rPr>
          <w:noProof/>
        </w:rPr>
        <w:t>2</w:t>
      </w:r>
      <w:r>
        <w:fldChar w:fldCharType="end"/>
      </w:r>
      <w:bookmarkEnd w:id="8"/>
      <w:r>
        <w:t xml:space="preserve">. Total number of </w:t>
      </w:r>
      <w:r>
        <w:rPr>
          <w:lang w:val="x-none"/>
        </w:rPr>
        <w:t>heatwaves</w:t>
      </w:r>
      <w:r>
        <w:t xml:space="preserve"> days experienced per year by older adults and infants.</w:t>
      </w:r>
    </w:p>
    <w:p w14:paraId="466DAC6A" w14:textId="5547C3E7" w:rsidR="00E717B0" w:rsidRDefault="00183015" w:rsidP="00DE5F7B">
      <w:r>
        <w:fldChar w:fldCharType="begin"/>
      </w:r>
      <w:r>
        <w:instrText xml:space="preserve"> REF _Ref191395398 \h </w:instrText>
      </w:r>
      <w:r>
        <w:fldChar w:fldCharType="separate"/>
      </w:r>
      <w:r w:rsidR="00A40F61">
        <w:t xml:space="preserve">Figure </w:t>
      </w:r>
      <w:r w:rsidR="00A40F61">
        <w:rPr>
          <w:noProof/>
        </w:rPr>
        <w:t>3</w:t>
      </w:r>
      <w:r>
        <w:fldChar w:fldCharType="end"/>
      </w:r>
      <w:r w:rsidR="00DE5F7B" w:rsidRPr="00C573F2">
        <w:t xml:space="preserve"> shows that </w:t>
      </w:r>
      <w:r w:rsidR="00182A95">
        <w:t xml:space="preserve">on average across the world </w:t>
      </w:r>
      <w:r w:rsidR="00DE5F7B" w:rsidRPr="00C573F2">
        <w:t>heatwave exposure is higher among individuals over 65</w:t>
      </w:r>
      <w:r w:rsidR="004616C2">
        <w:t xml:space="preserve"> (</w:t>
      </w:r>
      <w:r w:rsidR="00824E19" w:rsidRPr="00C24422">
        <w:t>20.8 heatwave days per person</w:t>
      </w:r>
      <w:r w:rsidR="004616C2">
        <w:t>)</w:t>
      </w:r>
      <w:r w:rsidR="00824E19" w:rsidRPr="00C24422">
        <w:t>, while infants experienced 20.4 days</w:t>
      </w:r>
      <w:r w:rsidR="00DE5F7B" w:rsidRPr="00C573F2">
        <w:t xml:space="preserve">. </w:t>
      </w:r>
    </w:p>
    <w:p w14:paraId="05A9A562" w14:textId="77777777" w:rsidR="00183015" w:rsidRDefault="00E717B0" w:rsidP="00183015">
      <w:pPr>
        <w:keepNext/>
      </w:pPr>
      <w:commentRangeStart w:id="9"/>
      <w:r>
        <w:rPr>
          <w:noProof/>
        </w:rPr>
        <w:lastRenderedPageBreak/>
        <w:drawing>
          <wp:inline distT="0" distB="0" distL="0" distR="0" wp14:anchorId="5B4AAE9B" wp14:editId="0C0E9A67">
            <wp:extent cx="5943600" cy="3372485"/>
            <wp:effectExtent l="0" t="0" r="0" b="5715"/>
            <wp:docPr id="1410575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75678" name="Picture 1410575678"/>
                    <pic:cNvPicPr/>
                  </pic:nvPicPr>
                  <pic:blipFill>
                    <a:blip r:embed="rId14"/>
                    <a:stretch>
                      <a:fillRect/>
                    </a:stretch>
                  </pic:blipFill>
                  <pic:spPr>
                    <a:xfrm>
                      <a:off x="0" y="0"/>
                      <a:ext cx="5943600" cy="3372485"/>
                    </a:xfrm>
                    <a:prstGeom prst="rect">
                      <a:avLst/>
                    </a:prstGeom>
                  </pic:spPr>
                </pic:pic>
              </a:graphicData>
            </a:graphic>
          </wp:inline>
        </w:drawing>
      </w:r>
      <w:commentRangeEnd w:id="9"/>
      <w:r w:rsidR="0082435B">
        <w:rPr>
          <w:rStyle w:val="CommentReference"/>
          <w:rFonts w:eastAsia="Times New Roman" w:cs="Times New Roman"/>
          <w:lang w:val="en-GB" w:eastAsia="en-GB"/>
        </w:rPr>
        <w:commentReference w:id="9"/>
      </w:r>
    </w:p>
    <w:p w14:paraId="5F5E5CB2" w14:textId="615F37D0" w:rsidR="004E2AEA" w:rsidRPr="004E2AEA" w:rsidRDefault="00183015" w:rsidP="005F5B1E">
      <w:pPr>
        <w:pStyle w:val="Caption"/>
      </w:pPr>
      <w:bookmarkStart w:id="10" w:name="_Ref191395398"/>
      <w:r>
        <w:t xml:space="preserve">Figure </w:t>
      </w:r>
      <w:r>
        <w:fldChar w:fldCharType="begin"/>
      </w:r>
      <w:r>
        <w:instrText xml:space="preserve"> SEQ Figure \* ARABIC </w:instrText>
      </w:r>
      <w:r>
        <w:fldChar w:fldCharType="separate"/>
      </w:r>
      <w:r w:rsidR="00E63A03">
        <w:rPr>
          <w:noProof/>
        </w:rPr>
        <w:t>3</w:t>
      </w:r>
      <w:r>
        <w:fldChar w:fldCharType="end"/>
      </w:r>
      <w:bookmarkEnd w:id="10"/>
      <w:r>
        <w:t>. Average number of heatwave days experienced by individuals over 65 and infants under one year old.</w:t>
      </w:r>
    </w:p>
    <w:p w14:paraId="6E242B06" w14:textId="39C79701" w:rsidR="00A249C6" w:rsidRPr="00EF0790" w:rsidRDefault="00A249C6" w:rsidP="00A249C6">
      <w:r>
        <w:t xml:space="preserve">When analyzed by country, as shown in </w:t>
      </w:r>
      <w:r>
        <w:fldChar w:fldCharType="begin"/>
      </w:r>
      <w:r>
        <w:instrText xml:space="preserve"> REF _Ref191395782 \h </w:instrText>
      </w:r>
      <w:r>
        <w:fldChar w:fldCharType="separate"/>
      </w:r>
      <w:r>
        <w:t xml:space="preserve">Figure </w:t>
      </w:r>
      <w:r>
        <w:rPr>
          <w:noProof/>
        </w:rPr>
        <w:t>3</w:t>
      </w:r>
      <w:r>
        <w:fldChar w:fldCharType="end"/>
      </w:r>
      <w:r>
        <w:t xml:space="preserve"> and </w:t>
      </w:r>
      <w:r>
        <w:fldChar w:fldCharType="begin"/>
      </w:r>
      <w:r>
        <w:instrText xml:space="preserve"> REF _Ref191395789 \h </w:instrText>
      </w:r>
      <w:r>
        <w:fldChar w:fldCharType="separate"/>
      </w:r>
      <w:r>
        <w:t xml:space="preserve">Figure </w:t>
      </w:r>
      <w:r>
        <w:rPr>
          <w:noProof/>
        </w:rPr>
        <w:t>4</w:t>
      </w:r>
      <w:r>
        <w:fldChar w:fldCharType="end"/>
      </w:r>
      <w:r>
        <w:t>, China and India have the highest number of affected individuals in both age categories, primarily due to their large populations. In 202</w:t>
      </w:r>
      <w:r w:rsidR="00EF0790">
        <w:t>4</w:t>
      </w:r>
      <w:r>
        <w:t>, a significant number of people over 65 were also impacted in Japan, the United States</w:t>
      </w:r>
      <w:r w:rsidR="008C42BA">
        <w:t xml:space="preserve"> of America</w:t>
      </w:r>
      <w:r>
        <w:t xml:space="preserve">, and </w:t>
      </w:r>
      <w:r w:rsidR="008C42BA">
        <w:t>Italy</w:t>
      </w:r>
      <w:r>
        <w:t>, while heatwave exposure among infants was particularly high in Indonesia</w:t>
      </w:r>
      <w:r w:rsidR="0000364C">
        <w:t xml:space="preserve">, </w:t>
      </w:r>
      <w:r>
        <w:t>Nigeria</w:t>
      </w:r>
      <w:r w:rsidR="0000364C">
        <w:t xml:space="preserve">, and the Democratic Republic of </w:t>
      </w:r>
      <w:proofErr w:type="gramStart"/>
      <w:r w:rsidR="0000364C">
        <w:t>the Congo</w:t>
      </w:r>
      <w:proofErr w:type="gramEnd"/>
      <w:r>
        <w:t>.</w:t>
      </w:r>
    </w:p>
    <w:p w14:paraId="7578033A" w14:textId="49A3FA90" w:rsidR="005A53BA" w:rsidRDefault="000F544E" w:rsidP="006A209A">
      <w:pPr>
        <w:keepNext/>
        <w:spacing w:line="240" w:lineRule="auto"/>
      </w:pPr>
      <w:r>
        <w:rPr>
          <w:noProof/>
        </w:rPr>
        <w:lastRenderedPageBreak/>
        <w:drawing>
          <wp:inline distT="0" distB="0" distL="0" distR="0" wp14:anchorId="32D04DA4" wp14:editId="4FA2ADD4">
            <wp:extent cx="5943600" cy="3372485"/>
            <wp:effectExtent l="0" t="0" r="0" b="5715"/>
            <wp:docPr id="1248568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68349" name="Picture 1248568349"/>
                    <pic:cNvPicPr/>
                  </pic:nvPicPr>
                  <pic:blipFill>
                    <a:blip r:embed="rId15"/>
                    <a:stretch>
                      <a:fillRect/>
                    </a:stretch>
                  </pic:blipFill>
                  <pic:spPr>
                    <a:xfrm>
                      <a:off x="0" y="0"/>
                      <a:ext cx="5943600" cy="3372485"/>
                    </a:xfrm>
                    <a:prstGeom prst="rect">
                      <a:avLst/>
                    </a:prstGeom>
                  </pic:spPr>
                </pic:pic>
              </a:graphicData>
            </a:graphic>
          </wp:inline>
        </w:drawing>
      </w:r>
    </w:p>
    <w:p w14:paraId="078CA3F7" w14:textId="1B6A1AF1" w:rsidR="005B7EA5" w:rsidRPr="00B56CFA" w:rsidRDefault="005A53BA" w:rsidP="005F5B1E">
      <w:pPr>
        <w:pStyle w:val="Caption"/>
      </w:pPr>
      <w:bookmarkStart w:id="11" w:name="_Ref191395782"/>
      <w:r>
        <w:t xml:space="preserve">Figure </w:t>
      </w:r>
      <w:r>
        <w:fldChar w:fldCharType="begin"/>
      </w:r>
      <w:r>
        <w:instrText xml:space="preserve"> SEQ Figure \* ARABIC </w:instrText>
      </w:r>
      <w:r>
        <w:fldChar w:fldCharType="separate"/>
      </w:r>
      <w:r w:rsidR="00E63A03">
        <w:rPr>
          <w:noProof/>
        </w:rPr>
        <w:t>4</w:t>
      </w:r>
      <w:r>
        <w:fldChar w:fldCharType="end"/>
      </w:r>
      <w:bookmarkEnd w:id="11"/>
      <w:r>
        <w:t>. Total heatwave person-days experienced by infants under one year old, presented by year and by the most affected countries.</w:t>
      </w:r>
      <w:r w:rsidR="000F544E">
        <w:rPr>
          <w:noProof/>
        </w:rPr>
        <w:drawing>
          <wp:inline distT="0" distB="0" distL="0" distR="0" wp14:anchorId="5199A0E5" wp14:editId="4D0DE832">
            <wp:extent cx="5943600" cy="3372485"/>
            <wp:effectExtent l="0" t="0" r="0" b="5715"/>
            <wp:docPr id="1944281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81363" name="Picture 1944281363"/>
                    <pic:cNvPicPr/>
                  </pic:nvPicPr>
                  <pic:blipFill>
                    <a:blip r:embed="rId16"/>
                    <a:stretch>
                      <a:fillRect/>
                    </a:stretch>
                  </pic:blipFill>
                  <pic:spPr>
                    <a:xfrm>
                      <a:off x="0" y="0"/>
                      <a:ext cx="5943600" cy="3372485"/>
                    </a:xfrm>
                    <a:prstGeom prst="rect">
                      <a:avLst/>
                    </a:prstGeom>
                  </pic:spPr>
                </pic:pic>
              </a:graphicData>
            </a:graphic>
          </wp:inline>
        </w:drawing>
      </w:r>
    </w:p>
    <w:p w14:paraId="397AEA03" w14:textId="2C1BA5A2" w:rsidR="005B7EA5" w:rsidRDefault="005B7EA5" w:rsidP="005F5B1E">
      <w:pPr>
        <w:pStyle w:val="Caption"/>
      </w:pPr>
      <w:bookmarkStart w:id="12" w:name="_Ref191395789"/>
      <w:r>
        <w:t xml:space="preserve">Figure </w:t>
      </w:r>
      <w:r>
        <w:fldChar w:fldCharType="begin"/>
      </w:r>
      <w:r>
        <w:instrText xml:space="preserve"> SEQ Figure \* ARABIC </w:instrText>
      </w:r>
      <w:r>
        <w:fldChar w:fldCharType="separate"/>
      </w:r>
      <w:r w:rsidR="00E63A03">
        <w:rPr>
          <w:noProof/>
        </w:rPr>
        <w:t>5</w:t>
      </w:r>
      <w:r>
        <w:fldChar w:fldCharType="end"/>
      </w:r>
      <w:bookmarkEnd w:id="12"/>
      <w:r>
        <w:t>. Total heatwave person-days experienced by individuals over 65, presented by year and by the most affected countries.</w:t>
      </w:r>
    </w:p>
    <w:p w14:paraId="67F3E7EB" w14:textId="0EEF9A45" w:rsidR="000E1E3F" w:rsidRDefault="00803831" w:rsidP="00DE5F7B">
      <w:r>
        <w:lastRenderedPageBreak/>
        <w:t xml:space="preserve">Before 2024, </w:t>
      </w:r>
      <w:r w:rsidR="00DE5F7B" w:rsidRPr="00C573F2">
        <w:t>countries classified as ‘</w:t>
      </w:r>
      <w:r w:rsidR="005F7FA5">
        <w:t>L</w:t>
      </w:r>
      <w:r w:rsidR="00DE5F7B" w:rsidRPr="00C573F2">
        <w:t>ow’ HDI</w:t>
      </w:r>
      <w:r w:rsidR="005A79B9">
        <w:t>, on average,</w:t>
      </w:r>
      <w:r w:rsidR="00DE5F7B" w:rsidRPr="00C573F2">
        <w:t xml:space="preserve"> exhibit</w:t>
      </w:r>
      <w:r w:rsidR="005A79B9">
        <w:t>ed</w:t>
      </w:r>
      <w:r w:rsidR="00DE5F7B" w:rsidRPr="00C573F2">
        <w:t xml:space="preserve"> lower heatwave exposure</w:t>
      </w:r>
      <w:r w:rsidR="00EC1317">
        <w:t xml:space="preserve"> for both age groups</w:t>
      </w:r>
      <w:r>
        <w:t xml:space="preserve">, as shown in </w:t>
      </w:r>
      <w:r>
        <w:fldChar w:fldCharType="begin"/>
      </w:r>
      <w:r>
        <w:instrText xml:space="preserve"> REF _Ref191395789 \h </w:instrText>
      </w:r>
      <w:r>
        <w:fldChar w:fldCharType="separate"/>
      </w:r>
      <w:r>
        <w:t xml:space="preserve">Figure </w:t>
      </w:r>
      <w:r>
        <w:rPr>
          <w:noProof/>
        </w:rPr>
        <w:t>5</w:t>
      </w:r>
      <w:r>
        <w:fldChar w:fldCharType="end"/>
      </w:r>
      <w:r w:rsidR="00DE5F7B" w:rsidRPr="00C573F2">
        <w:t xml:space="preserve">. </w:t>
      </w:r>
      <w:r w:rsidR="005F7FA5">
        <w:t>However, th</w:t>
      </w:r>
      <w:r w:rsidR="0004686F">
        <w:t>ese countries experienced the fastest growth in 2024</w:t>
      </w:r>
      <w:r w:rsidR="007153B6">
        <w:t xml:space="preserve"> and both groups experienced </w:t>
      </w:r>
      <w:r w:rsidR="00E629A9">
        <w:t>at more than 20 heatwaves days per year on average.</w:t>
      </w:r>
    </w:p>
    <w:p w14:paraId="5CE98D4B" w14:textId="768110E1" w:rsidR="00CB59A1" w:rsidRDefault="00F02770" w:rsidP="00CB59A1">
      <w:pPr>
        <w:keepNext/>
      </w:pPr>
      <w:r>
        <w:rPr>
          <w:noProof/>
        </w:rPr>
        <w:drawing>
          <wp:inline distT="0" distB="0" distL="0" distR="0" wp14:anchorId="5071743C" wp14:editId="0ED5C5FC">
            <wp:extent cx="5943600" cy="5943600"/>
            <wp:effectExtent l="0" t="0" r="0" b="0"/>
            <wp:docPr id="15348330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33056" name="Picture 1534833056"/>
                    <pic:cNvPicPr/>
                  </pic:nvPicPr>
                  <pic:blipFill>
                    <a:blip r:embed="rId17"/>
                    <a:stretch>
                      <a:fillRect/>
                    </a:stretch>
                  </pic:blipFill>
                  <pic:spPr>
                    <a:xfrm>
                      <a:off x="0" y="0"/>
                      <a:ext cx="5943600" cy="5943600"/>
                    </a:xfrm>
                    <a:prstGeom prst="rect">
                      <a:avLst/>
                    </a:prstGeom>
                  </pic:spPr>
                </pic:pic>
              </a:graphicData>
            </a:graphic>
          </wp:inline>
        </w:drawing>
      </w:r>
    </w:p>
    <w:p w14:paraId="2D0FF0BF" w14:textId="2DFB61AE" w:rsidR="000E1E3F" w:rsidRDefault="00CB59A1" w:rsidP="005F5B1E">
      <w:pPr>
        <w:pStyle w:val="Caption"/>
      </w:pPr>
      <w:r>
        <w:t xml:space="preserve">Figure </w:t>
      </w:r>
      <w:r>
        <w:fldChar w:fldCharType="begin"/>
      </w:r>
      <w:r>
        <w:instrText xml:space="preserve"> SEQ Figure \* ARABIC </w:instrText>
      </w:r>
      <w:r>
        <w:fldChar w:fldCharType="separate"/>
      </w:r>
      <w:r w:rsidR="00E63A03">
        <w:rPr>
          <w:noProof/>
        </w:rPr>
        <w:t>6</w:t>
      </w:r>
      <w:r>
        <w:fldChar w:fldCharType="end"/>
      </w:r>
      <w:r>
        <w:t xml:space="preserve">. </w:t>
      </w:r>
      <w:r w:rsidR="000E6869">
        <w:t>Average number of heatwave days experienced</w:t>
      </w:r>
      <w:r>
        <w:t xml:space="preserve"> aggregated by HDI level.</w:t>
      </w:r>
    </w:p>
    <w:p w14:paraId="57B6CA8F" w14:textId="3251EA7A" w:rsidR="00DE5F7B" w:rsidRPr="000E1E3F" w:rsidRDefault="00B97D5B" w:rsidP="00DE5F7B">
      <w:pPr>
        <w:rPr>
          <w:lang w:val="en-GB"/>
        </w:rPr>
      </w:pPr>
      <w:r w:rsidRPr="00C573F2">
        <w:lastRenderedPageBreak/>
        <w:t>Figure 6</w:t>
      </w:r>
      <w:r w:rsidR="00DE5F7B" w:rsidRPr="00C573F2">
        <w:t xml:space="preserve"> presents data aggregated by WHO regions</w:t>
      </w:r>
      <w:r>
        <w:t>.</w:t>
      </w:r>
      <w:r w:rsidR="00DE5F7B" w:rsidRPr="00C573F2">
        <w:t xml:space="preserve"> </w:t>
      </w:r>
      <w:r>
        <w:t>T</w:t>
      </w:r>
      <w:r w:rsidR="00DE5F7B" w:rsidRPr="00C573F2">
        <w:t xml:space="preserve">he </w:t>
      </w:r>
      <w:r w:rsidR="000B32F6">
        <w:t>Wester Pacific</w:t>
      </w:r>
      <w:r w:rsidR="00DE5F7B" w:rsidRPr="00C573F2">
        <w:t xml:space="preserve"> region </w:t>
      </w:r>
      <w:r>
        <w:t>was</w:t>
      </w:r>
      <w:r w:rsidR="00DE5F7B" w:rsidRPr="00C573F2">
        <w:t xml:space="preserve"> the most affected</w:t>
      </w:r>
      <w:r>
        <w:t xml:space="preserve"> </w:t>
      </w:r>
      <w:r w:rsidRPr="00C573F2">
        <w:t xml:space="preserve">for the </w:t>
      </w:r>
      <w:r>
        <w:t>infants (under 1)</w:t>
      </w:r>
      <w:r w:rsidRPr="00C573F2">
        <w:t xml:space="preserve"> </w:t>
      </w:r>
      <w:r w:rsidR="000B32F6">
        <w:t xml:space="preserve">and </w:t>
      </w:r>
      <w:r w:rsidR="00516D6C">
        <w:t>the over-65 population.</w:t>
      </w:r>
    </w:p>
    <w:p w14:paraId="0F76F6A1" w14:textId="77777777" w:rsidR="00E63A03" w:rsidRDefault="00816616" w:rsidP="00E63A03">
      <w:pPr>
        <w:keepNext/>
      </w:pPr>
      <w:r>
        <w:rPr>
          <w:noProof/>
          <w:lang w:val="en-GB"/>
        </w:rPr>
        <w:drawing>
          <wp:inline distT="0" distB="0" distL="0" distR="0" wp14:anchorId="2D0E4FB0" wp14:editId="0A9BB638">
            <wp:extent cx="5943600" cy="5943600"/>
            <wp:effectExtent l="0" t="0" r="0" b="0"/>
            <wp:docPr id="11540011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01177" name="Picture 1154001177"/>
                    <pic:cNvPicPr/>
                  </pic:nvPicPr>
                  <pic:blipFill>
                    <a:blip r:embed="rId18"/>
                    <a:stretch>
                      <a:fillRect/>
                    </a:stretch>
                  </pic:blipFill>
                  <pic:spPr>
                    <a:xfrm>
                      <a:off x="0" y="0"/>
                      <a:ext cx="5943600" cy="5943600"/>
                    </a:xfrm>
                    <a:prstGeom prst="rect">
                      <a:avLst/>
                    </a:prstGeom>
                  </pic:spPr>
                </pic:pic>
              </a:graphicData>
            </a:graphic>
          </wp:inline>
        </w:drawing>
      </w:r>
    </w:p>
    <w:p w14:paraId="6D8F02FA" w14:textId="606112FF" w:rsidR="0002314F" w:rsidRDefault="00E63A03" w:rsidP="005F5B1E">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w:t>
      </w:r>
      <w:r w:rsidRPr="0062116C">
        <w:t xml:space="preserve">Average number of heatwave days experienced aggregated by </w:t>
      </w:r>
      <w:r>
        <w:t>WHO region.</w:t>
      </w:r>
    </w:p>
    <w:p w14:paraId="3CAAD14A" w14:textId="77777777" w:rsidR="00FC31A1" w:rsidRDefault="00FC31A1" w:rsidP="00FC31A1">
      <w:pPr>
        <w:pStyle w:val="Methodsheadings"/>
        <w:rPr>
          <w:rFonts w:asciiTheme="minorHAnsi" w:hAnsiTheme="minorHAnsi" w:cstheme="minorHAnsi"/>
          <w:sz w:val="24"/>
          <w:szCs w:val="28"/>
        </w:rPr>
      </w:pPr>
      <w:r w:rsidRPr="00FA7A06">
        <w:rPr>
          <w:rFonts w:asciiTheme="minorHAnsi" w:hAnsiTheme="minorHAnsi" w:cstheme="minorHAnsi"/>
          <w:sz w:val="24"/>
          <w:szCs w:val="28"/>
        </w:rPr>
        <w:t>Additional analysis</w:t>
      </w:r>
    </w:p>
    <w:p w14:paraId="2FF76722" w14:textId="120C6B42" w:rsidR="007165D2" w:rsidRPr="007165D2" w:rsidRDefault="007165D2" w:rsidP="007165D2">
      <w:pPr>
        <w:rPr>
          <w:lang w:val="en-GB"/>
        </w:rPr>
      </w:pPr>
      <w:r w:rsidRPr="007165D2">
        <w:rPr>
          <w:lang w:val="en-GB"/>
        </w:rPr>
        <w:t xml:space="preserve">While climate change drives the increase in heatwave days, population growth also contributes to the rising number of heatwave person-days. This section compares the periods 1986–2005 </w:t>
      </w:r>
      <w:r w:rsidRPr="007165D2">
        <w:rPr>
          <w:lang w:val="en-GB"/>
        </w:rPr>
        <w:lastRenderedPageBreak/>
        <w:t>and 2004–202</w:t>
      </w:r>
      <w:r w:rsidR="00584714">
        <w:rPr>
          <w:lang w:val="en-GB"/>
        </w:rPr>
        <w:t>4</w:t>
      </w:r>
      <w:r w:rsidRPr="007165D2">
        <w:rPr>
          <w:lang w:val="en-GB"/>
        </w:rPr>
        <w:t xml:space="preserve"> to estimate how many heatwave days vulnerable populations would have experienced if climate change had not occurred, considering only demographic shifts.  </w:t>
      </w:r>
    </w:p>
    <w:p w14:paraId="430C7B44" w14:textId="56B1770C" w:rsidR="007165D2" w:rsidRPr="007165D2" w:rsidRDefault="007165D2" w:rsidP="007165D2">
      <w:pPr>
        <w:rPr>
          <w:lang w:val="en-GB"/>
        </w:rPr>
      </w:pPr>
      <w:r w:rsidRPr="007165D2">
        <w:rPr>
          <w:lang w:val="en-GB"/>
        </w:rPr>
        <w:t>For each geographic coordinate, the average annual heatwave days affecting both elderly and infant populations were calculated for 2004–202</w:t>
      </w:r>
      <w:r w:rsidR="006E566D">
        <w:rPr>
          <w:lang w:val="en-GB"/>
        </w:rPr>
        <w:t>4</w:t>
      </w:r>
      <w:r w:rsidRPr="007165D2">
        <w:rPr>
          <w:lang w:val="en-GB"/>
        </w:rPr>
        <w:t xml:space="preserve">. The same calculation was repeated while holding heatwave incidence constant </w:t>
      </w:r>
      <w:proofErr w:type="gramStart"/>
      <w:r w:rsidRPr="007165D2">
        <w:rPr>
          <w:lang w:val="en-GB"/>
        </w:rPr>
        <w:t>at</w:t>
      </w:r>
      <w:proofErr w:type="gramEnd"/>
      <w:r w:rsidRPr="007165D2">
        <w:rPr>
          <w:lang w:val="en-GB"/>
        </w:rPr>
        <w:t xml:space="preserve"> 1986–2005 levels, isolating the impact of climate change. Comparing these scenarios reveals how many heatwave days vulnerable populations would have been exposed to purely due to demographic changes.</w:t>
      </w:r>
    </w:p>
    <w:p w14:paraId="3AE6A092" w14:textId="58C33564" w:rsidR="00FC31A1" w:rsidRPr="0002314F" w:rsidRDefault="007165D2" w:rsidP="007165D2">
      <w:pPr>
        <w:rPr>
          <w:lang w:val="en-GB"/>
        </w:rPr>
      </w:pPr>
      <w:r w:rsidRPr="007165D2">
        <w:rPr>
          <w:lang w:val="en-GB"/>
        </w:rPr>
        <w:t xml:space="preserve">Under a constant heatwave incidence at baseline levels, vulnerable populations would have experienced an average of </w:t>
      </w:r>
      <w:commentRangeStart w:id="13"/>
      <w:r w:rsidR="00C00802">
        <w:rPr>
          <w:lang w:val="en-GB"/>
        </w:rPr>
        <w:t>XX</w:t>
      </w:r>
      <w:r w:rsidRPr="007165D2">
        <w:rPr>
          <w:lang w:val="en-GB"/>
        </w:rPr>
        <w:t xml:space="preserve"> </w:t>
      </w:r>
      <w:commentRangeEnd w:id="13"/>
      <w:r w:rsidR="00C00802">
        <w:rPr>
          <w:rStyle w:val="CommentReference"/>
          <w:rFonts w:eastAsia="Times New Roman" w:cs="Times New Roman"/>
          <w:lang w:val="en-GB" w:eastAsia="en-GB"/>
        </w:rPr>
        <w:commentReference w:id="13"/>
      </w:r>
      <w:r w:rsidRPr="007165D2">
        <w:rPr>
          <w:lang w:val="en-GB"/>
        </w:rPr>
        <w:t>heatwave days per person per year in 2004–202</w:t>
      </w:r>
      <w:r w:rsidR="00C00802">
        <w:rPr>
          <w:lang w:val="en-GB"/>
        </w:rPr>
        <w:t>4</w:t>
      </w:r>
      <w:r w:rsidRPr="007165D2">
        <w:rPr>
          <w:lang w:val="en-GB"/>
        </w:rPr>
        <w:t>—</w:t>
      </w:r>
      <w:r w:rsidR="00C00802">
        <w:rPr>
          <w:lang w:val="en-GB"/>
        </w:rPr>
        <w:t>YY</w:t>
      </w:r>
      <w:commentRangeStart w:id="14"/>
      <w:r w:rsidRPr="007165D2">
        <w:rPr>
          <w:lang w:val="en-GB"/>
        </w:rPr>
        <w:t>%</w:t>
      </w:r>
      <w:commentRangeEnd w:id="14"/>
      <w:r w:rsidR="00C00802">
        <w:rPr>
          <w:rStyle w:val="CommentReference"/>
          <w:rFonts w:eastAsia="Times New Roman" w:cs="Times New Roman"/>
          <w:lang w:val="en-GB" w:eastAsia="en-GB"/>
        </w:rPr>
        <w:commentReference w:id="14"/>
      </w:r>
      <w:r w:rsidRPr="007165D2">
        <w:rPr>
          <w:lang w:val="en-GB"/>
        </w:rPr>
        <w:t xml:space="preserve"> fewer than observed. Infants faced an average increase of </w:t>
      </w:r>
      <w:commentRangeStart w:id="15"/>
      <w:r w:rsidR="00C00802">
        <w:rPr>
          <w:lang w:val="en-GB"/>
        </w:rPr>
        <w:t>ZZ</w:t>
      </w:r>
      <w:commentRangeEnd w:id="15"/>
      <w:r w:rsidR="00C00802">
        <w:rPr>
          <w:rStyle w:val="CommentReference"/>
          <w:rFonts w:eastAsia="Times New Roman" w:cs="Times New Roman"/>
          <w:lang w:val="en-GB" w:eastAsia="en-GB"/>
        </w:rPr>
        <w:commentReference w:id="15"/>
      </w:r>
      <w:r w:rsidRPr="007165D2">
        <w:rPr>
          <w:lang w:val="en-GB"/>
        </w:rPr>
        <w:t xml:space="preserve"> heatwave days per year, while individuals over 65, a rapidly growing group, experienced an additional </w:t>
      </w:r>
      <w:commentRangeStart w:id="16"/>
      <w:r w:rsidR="00C00802">
        <w:rPr>
          <w:lang w:val="en-GB"/>
        </w:rPr>
        <w:t>YY</w:t>
      </w:r>
      <w:commentRangeEnd w:id="16"/>
      <w:r w:rsidR="00C00802">
        <w:rPr>
          <w:rStyle w:val="CommentReference"/>
          <w:rFonts w:eastAsia="Times New Roman" w:cs="Times New Roman"/>
          <w:lang w:val="en-GB" w:eastAsia="en-GB"/>
        </w:rPr>
        <w:commentReference w:id="16"/>
      </w:r>
      <w:r w:rsidRPr="007165D2">
        <w:rPr>
          <w:lang w:val="en-GB"/>
        </w:rPr>
        <w:t xml:space="preserve"> heatwave days annually. Notably, a slight decrease in per-person heatwave exposure would have been expected if heatwave incidence remained </w:t>
      </w:r>
      <w:proofErr w:type="gramStart"/>
      <w:r w:rsidRPr="007165D2">
        <w:rPr>
          <w:lang w:val="en-GB"/>
        </w:rPr>
        <w:t>at</w:t>
      </w:r>
      <w:proofErr w:type="gramEnd"/>
      <w:r w:rsidRPr="007165D2">
        <w:rPr>
          <w:lang w:val="en-GB"/>
        </w:rPr>
        <w:t xml:space="preserve"> 1986–2005 levels, reflecting shifts in the geographic distribution of vulnerable populations.</w:t>
      </w:r>
    </w:p>
    <w:sectPr w:rsidR="00FC31A1" w:rsidRPr="0002314F" w:rsidSect="00692FC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Federico Tartarini" w:date="2025-03-06T15:39:00Z" w:initials="f">
    <w:p w14:paraId="38A9B928" w14:textId="2AD6851B" w:rsidR="005567DC" w:rsidRDefault="005567DC" w:rsidP="005567DC">
      <w:pPr>
        <w:jc w:val="left"/>
      </w:pPr>
      <w:r>
        <w:rPr>
          <w:rStyle w:val="CommentReference"/>
        </w:rPr>
        <w:annotationRef/>
      </w:r>
      <w:r>
        <w:rPr>
          <w:rFonts w:eastAsia="Times New Roman" w:cs="Times New Roman"/>
          <w:sz w:val="20"/>
          <w:szCs w:val="20"/>
          <w:lang w:val="en-GB" w:eastAsia="en-GB"/>
        </w:rPr>
        <w:fldChar w:fldCharType="begin"/>
      </w:r>
      <w:r>
        <w:rPr>
          <w:rFonts w:eastAsia="Times New Roman" w:cs="Times New Roman"/>
          <w:sz w:val="20"/>
          <w:szCs w:val="20"/>
          <w:lang w:val="en-GB" w:eastAsia="en-GB"/>
        </w:rPr>
        <w:instrText>HYPERLINK "mailto:ollie.jay@sydney.edu.au"</w:instrText>
      </w:r>
      <w:r>
        <w:rPr>
          <w:rFonts w:eastAsia="Times New Roman" w:cs="Times New Roman"/>
          <w:sz w:val="20"/>
          <w:szCs w:val="20"/>
          <w:lang w:val="en-GB" w:eastAsia="en-GB"/>
        </w:rPr>
      </w:r>
      <w:bookmarkStart w:id="3" w:name="_@_A231D3C4F3FC684586646749FAFAAC93Z"/>
      <w:r>
        <w:rPr>
          <w:rFonts w:eastAsia="Times New Roman" w:cs="Times New Roman"/>
          <w:sz w:val="20"/>
          <w:szCs w:val="20"/>
          <w:lang w:val="en-GB" w:eastAsia="en-GB"/>
        </w:rPr>
        <w:fldChar w:fldCharType="separate"/>
      </w:r>
      <w:bookmarkEnd w:id="3"/>
      <w:r w:rsidRPr="005567DC">
        <w:rPr>
          <w:rStyle w:val="Mention"/>
          <w:rFonts w:eastAsia="Times New Roman" w:cs="Times New Roman"/>
          <w:noProof/>
          <w:sz w:val="20"/>
          <w:szCs w:val="20"/>
          <w:lang w:val="en-GB" w:eastAsia="en-GB"/>
        </w:rPr>
        <w:t>@Ollie Jay</w:t>
      </w:r>
      <w:r>
        <w:rPr>
          <w:rFonts w:eastAsia="Times New Roman" w:cs="Times New Roman"/>
          <w:sz w:val="20"/>
          <w:szCs w:val="20"/>
          <w:lang w:val="en-GB" w:eastAsia="en-GB"/>
        </w:rPr>
        <w:fldChar w:fldCharType="end"/>
      </w:r>
      <w:r>
        <w:rPr>
          <w:rFonts w:eastAsia="Times New Roman" w:cs="Times New Roman"/>
          <w:sz w:val="20"/>
          <w:szCs w:val="20"/>
          <w:lang w:val="en-GB" w:eastAsia="en-GB"/>
        </w:rPr>
        <w:t xml:space="preserve"> could you please write a few sentences here, we also need to discuss if I can actually do it. We do not want to promise something that I cannot deliver.</w:t>
      </w:r>
    </w:p>
  </w:comment>
  <w:comment w:id="5" w:author="Federico Tartarini" w:date="2025-03-06T11:38:00Z" w:initials="f">
    <w:p w14:paraId="518CEE7C" w14:textId="414A84E7" w:rsidR="006A7334" w:rsidRDefault="006A7334" w:rsidP="006A7334">
      <w:pPr>
        <w:jc w:val="left"/>
      </w:pPr>
      <w:r>
        <w:rPr>
          <w:rStyle w:val="CommentReference"/>
        </w:rPr>
        <w:annotationRef/>
      </w:r>
      <w:r>
        <w:rPr>
          <w:rFonts w:eastAsia="Times New Roman" w:cs="Times New Roman"/>
          <w:sz w:val="20"/>
          <w:szCs w:val="20"/>
          <w:lang w:val="en-GB" w:eastAsia="en-GB"/>
        </w:rPr>
        <w:fldChar w:fldCharType="begin"/>
      </w:r>
      <w:r>
        <w:rPr>
          <w:rFonts w:eastAsia="Times New Roman" w:cs="Times New Roman"/>
          <w:sz w:val="20"/>
          <w:szCs w:val="20"/>
          <w:lang w:val="en-GB" w:eastAsia="en-GB"/>
        </w:rPr>
        <w:instrText>HYPERLINK "mailto:ollie.jay@sydney.edu.au"</w:instrText>
      </w:r>
      <w:r>
        <w:rPr>
          <w:rFonts w:eastAsia="Times New Roman" w:cs="Times New Roman"/>
          <w:sz w:val="20"/>
          <w:szCs w:val="20"/>
          <w:lang w:val="en-GB" w:eastAsia="en-GB"/>
        </w:rPr>
      </w:r>
      <w:bookmarkStart w:id="7" w:name="_@_3F8BCB7425EDB1448CC14464E3889877Z"/>
      <w:r>
        <w:rPr>
          <w:rFonts w:eastAsia="Times New Roman" w:cs="Times New Roman"/>
          <w:sz w:val="20"/>
          <w:szCs w:val="20"/>
          <w:lang w:val="en-GB" w:eastAsia="en-GB"/>
        </w:rPr>
        <w:fldChar w:fldCharType="separate"/>
      </w:r>
      <w:bookmarkEnd w:id="7"/>
      <w:r w:rsidRPr="006A7334">
        <w:rPr>
          <w:rStyle w:val="Mention"/>
          <w:rFonts w:eastAsia="Times New Roman" w:cs="Times New Roman"/>
          <w:noProof/>
          <w:sz w:val="20"/>
          <w:szCs w:val="20"/>
          <w:lang w:val="en-GB" w:eastAsia="en-GB"/>
        </w:rPr>
        <w:t>@Ollie Jay</w:t>
      </w:r>
      <w:r>
        <w:rPr>
          <w:rFonts w:eastAsia="Times New Roman" w:cs="Times New Roman"/>
          <w:sz w:val="20"/>
          <w:szCs w:val="20"/>
          <w:lang w:val="en-GB" w:eastAsia="en-GB"/>
        </w:rPr>
        <w:fldChar w:fldCharType="end"/>
      </w:r>
      <w:r>
        <w:rPr>
          <w:rFonts w:eastAsia="Times New Roman" w:cs="Times New Roman"/>
          <w:sz w:val="20"/>
          <w:szCs w:val="20"/>
          <w:lang w:val="en-GB" w:eastAsia="en-GB"/>
        </w:rPr>
        <w:t xml:space="preserve"> shall we also include people above 75?</w:t>
      </w:r>
    </w:p>
  </w:comment>
  <w:comment w:id="6" w:author="Ollie Jay" w:date="2025-03-05T17:07:00Z" w:initials="">
    <w:p w14:paraId="6984A1FE" w14:textId="7053DDCC" w:rsidR="00676535" w:rsidRDefault="00676535">
      <w:pPr>
        <w:pStyle w:val="CommentText"/>
      </w:pPr>
      <w:r>
        <w:rPr>
          <w:rStyle w:val="CommentReference"/>
        </w:rPr>
        <w:annotationRef/>
      </w:r>
      <w:r>
        <w:t>Yes, great idea.</w:t>
      </w:r>
    </w:p>
  </w:comment>
  <w:comment w:id="9" w:author="Federico Tartarini" w:date="2025-03-03T14:38:00Z" w:initials="f">
    <w:p w14:paraId="4C615945" w14:textId="6376378C" w:rsidR="0082435B" w:rsidRDefault="0082435B" w:rsidP="0082435B">
      <w:pPr>
        <w:jc w:val="left"/>
      </w:pPr>
      <w:r>
        <w:rPr>
          <w:rStyle w:val="CommentReference"/>
        </w:rPr>
        <w:annotationRef/>
      </w:r>
      <w:r>
        <w:rPr>
          <w:rFonts w:eastAsia="Times New Roman" w:cs="Times New Roman"/>
          <w:sz w:val="20"/>
          <w:szCs w:val="20"/>
          <w:lang w:val="en-GB" w:eastAsia="en-GB"/>
        </w:rPr>
        <w:t>I am planning to add a line for people above 80 or 85 as well. To make the chart a bit different and also to report on a group of people which is more at risk.</w:t>
      </w:r>
    </w:p>
  </w:comment>
  <w:comment w:id="13" w:author="Federico Tartarini" w:date="2025-02-27T15:09:00Z" w:initials="f">
    <w:p w14:paraId="5B415705" w14:textId="77777777" w:rsidR="00C00802" w:rsidRDefault="00C00802" w:rsidP="00C00802">
      <w:pPr>
        <w:jc w:val="left"/>
      </w:pPr>
      <w:r>
        <w:rPr>
          <w:rStyle w:val="CommentReference"/>
        </w:rPr>
        <w:annotationRef/>
      </w:r>
      <w:r>
        <w:rPr>
          <w:rFonts w:eastAsia="Times New Roman" w:cs="Times New Roman"/>
          <w:sz w:val="20"/>
          <w:szCs w:val="20"/>
          <w:lang w:val="en-GB" w:eastAsia="en-GB"/>
        </w:rPr>
        <w:t>value</w:t>
      </w:r>
    </w:p>
  </w:comment>
  <w:comment w:id="14" w:author="Federico Tartarini" w:date="2025-02-27T15:08:00Z" w:initials="f">
    <w:p w14:paraId="658BA5F5" w14:textId="67957123" w:rsidR="00C00802" w:rsidRDefault="00C00802" w:rsidP="00C00802">
      <w:pPr>
        <w:jc w:val="left"/>
      </w:pPr>
      <w:r>
        <w:rPr>
          <w:rStyle w:val="CommentReference"/>
        </w:rPr>
        <w:annotationRef/>
      </w:r>
      <w:r>
        <w:rPr>
          <w:rFonts w:eastAsia="Times New Roman" w:cs="Times New Roman"/>
          <w:sz w:val="20"/>
          <w:szCs w:val="20"/>
          <w:lang w:val="en-GB" w:eastAsia="en-GB"/>
        </w:rPr>
        <w:t>Value</w:t>
      </w:r>
    </w:p>
  </w:comment>
  <w:comment w:id="15" w:author="Federico Tartarini" w:date="2025-02-27T15:09:00Z" w:initials="f">
    <w:p w14:paraId="1AAA97F9" w14:textId="77777777" w:rsidR="00C00802" w:rsidRDefault="00C00802" w:rsidP="00C00802">
      <w:pPr>
        <w:jc w:val="left"/>
      </w:pPr>
      <w:r>
        <w:rPr>
          <w:rStyle w:val="CommentReference"/>
        </w:rPr>
        <w:annotationRef/>
      </w:r>
      <w:r>
        <w:rPr>
          <w:rFonts w:eastAsia="Times New Roman" w:cs="Times New Roman"/>
          <w:sz w:val="20"/>
          <w:szCs w:val="20"/>
          <w:lang w:val="en-GB" w:eastAsia="en-GB"/>
        </w:rPr>
        <w:t>value</w:t>
      </w:r>
    </w:p>
  </w:comment>
  <w:comment w:id="16" w:author="Federico Tartarini" w:date="2025-02-27T15:09:00Z" w:initials="f">
    <w:p w14:paraId="53E41A80" w14:textId="77777777" w:rsidR="00C00802" w:rsidRDefault="00C00802" w:rsidP="00C00802">
      <w:pPr>
        <w:jc w:val="left"/>
      </w:pPr>
      <w:r>
        <w:rPr>
          <w:rStyle w:val="CommentReference"/>
        </w:rPr>
        <w:annotationRef/>
      </w:r>
      <w:r>
        <w:rPr>
          <w:rFonts w:eastAsia="Times New Roman" w:cs="Times New Roman"/>
          <w:sz w:val="20"/>
          <w:szCs w:val="20"/>
          <w:lang w:val="en-GB" w:eastAsia="en-GB"/>
        </w:rPr>
        <w:t>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A9B928" w15:done="0"/>
  <w15:commentEx w15:paraId="518CEE7C" w15:done="0"/>
  <w15:commentEx w15:paraId="6984A1FE" w15:paraIdParent="518CEE7C" w15:done="0"/>
  <w15:commentEx w15:paraId="4C615945" w15:done="0"/>
  <w15:commentEx w15:paraId="5B415705" w15:done="0"/>
  <w15:commentEx w15:paraId="658BA5F5" w15:done="0"/>
  <w15:commentEx w15:paraId="1AAA97F9" w15:done="0"/>
  <w15:commentEx w15:paraId="53E41A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42005AF" w16cex:dateUtc="2025-03-06T04:39:00Z"/>
  <w16cex:commentExtensible w16cex:durableId="5BC3203E" w16cex:dateUtc="2025-03-06T00:38:00Z"/>
  <w16cex:commentExtensible w16cex:durableId="148BBE78" w16cex:dateUtc="2025-03-06T01:07:00Z"/>
  <w16cex:commentExtensible w16cex:durableId="21EE26BE" w16cex:dateUtc="2025-03-03T03:38:00Z"/>
  <w16cex:commentExtensible w16cex:durableId="035A6C06" w16cex:dateUtc="2025-02-27T04:09:00Z"/>
  <w16cex:commentExtensible w16cex:durableId="27422208" w16cex:dateUtc="2025-02-27T04:08:00Z"/>
  <w16cex:commentExtensible w16cex:durableId="3A3455D2" w16cex:dateUtc="2025-02-27T04:09:00Z"/>
  <w16cex:commentExtensible w16cex:durableId="4C55119B" w16cex:dateUtc="2025-02-27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A9B928" w16cid:durableId="142005AF"/>
  <w16cid:commentId w16cid:paraId="518CEE7C" w16cid:durableId="5BC3203E"/>
  <w16cid:commentId w16cid:paraId="6984A1FE" w16cid:durableId="148BBE78"/>
  <w16cid:commentId w16cid:paraId="4C615945" w16cid:durableId="21EE26BE"/>
  <w16cid:commentId w16cid:paraId="5B415705" w16cid:durableId="035A6C06"/>
  <w16cid:commentId w16cid:paraId="658BA5F5" w16cid:durableId="27422208"/>
  <w16cid:commentId w16cid:paraId="1AAA97F9" w16cid:durableId="3A3455D2"/>
  <w16cid:commentId w16cid:paraId="53E41A80" w16cid:durableId="4C5511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F79B44" w14:textId="77777777" w:rsidR="00301524" w:rsidRDefault="00301524" w:rsidP="00E97AEB">
      <w:pPr>
        <w:spacing w:before="0" w:after="0" w:line="240" w:lineRule="auto"/>
      </w:pPr>
      <w:r>
        <w:separator/>
      </w:r>
    </w:p>
  </w:endnote>
  <w:endnote w:type="continuationSeparator" w:id="0">
    <w:p w14:paraId="1C457235" w14:textId="77777777" w:rsidR="00301524" w:rsidRDefault="00301524" w:rsidP="00E97AEB">
      <w:pPr>
        <w:spacing w:before="0" w:after="0" w:line="240" w:lineRule="auto"/>
      </w:pPr>
      <w:r>
        <w:continuationSeparator/>
      </w:r>
    </w:p>
  </w:endnote>
  <w:endnote w:type="continuationNotice" w:id="1">
    <w:p w14:paraId="09549ABA" w14:textId="77777777" w:rsidR="00301524" w:rsidRDefault="0030152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calaLancetPro">
    <w:altName w:val="Cambria"/>
    <w:panose1 w:val="020B0604020202020204"/>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8D0F01" w14:textId="77777777" w:rsidR="00301524" w:rsidRDefault="00301524" w:rsidP="00E97AEB">
      <w:pPr>
        <w:spacing w:before="0" w:after="0" w:line="240" w:lineRule="auto"/>
      </w:pPr>
      <w:r>
        <w:separator/>
      </w:r>
    </w:p>
  </w:footnote>
  <w:footnote w:type="continuationSeparator" w:id="0">
    <w:p w14:paraId="05375F5F" w14:textId="77777777" w:rsidR="00301524" w:rsidRDefault="00301524" w:rsidP="00E97AEB">
      <w:pPr>
        <w:spacing w:before="0" w:after="0" w:line="240" w:lineRule="auto"/>
      </w:pPr>
      <w:r>
        <w:continuationSeparator/>
      </w:r>
    </w:p>
  </w:footnote>
  <w:footnote w:type="continuationNotice" w:id="1">
    <w:p w14:paraId="4E8DC005" w14:textId="77777777" w:rsidR="00301524" w:rsidRDefault="00301524">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076B2"/>
    <w:multiLevelType w:val="hybridMultilevel"/>
    <w:tmpl w:val="A5762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8F7458"/>
    <w:multiLevelType w:val="hybridMultilevel"/>
    <w:tmpl w:val="F4C48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723BAF"/>
    <w:multiLevelType w:val="hybridMultilevel"/>
    <w:tmpl w:val="C42078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BF3DAE"/>
    <w:multiLevelType w:val="hybridMultilevel"/>
    <w:tmpl w:val="DD1E8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2774911">
    <w:abstractNumId w:val="3"/>
  </w:num>
  <w:num w:numId="2" w16cid:durableId="386731361">
    <w:abstractNumId w:val="2"/>
  </w:num>
  <w:num w:numId="3" w16cid:durableId="2030640609">
    <w:abstractNumId w:val="1"/>
  </w:num>
  <w:num w:numId="4" w16cid:durableId="11189918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derico Tartarini">
    <w15:presenceInfo w15:providerId="AD" w15:userId="S::federico.tartarini@sydney.edu.au::5ec8f09e-437c-49d8-b13d-64b24f36c24b"/>
  </w15:person>
  <w15:person w15:author="Ollie Jay">
    <w15:presenceInfo w15:providerId="AD" w15:userId="S::ollie.jay@sydney.edu.au::4adde0ff-a6bd-47a4-a814-1f0998167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oNotDisplayPageBoundarie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0364C"/>
    <w:rsid w:val="000124EE"/>
    <w:rsid w:val="000224A6"/>
    <w:rsid w:val="0002314F"/>
    <w:rsid w:val="00042BBD"/>
    <w:rsid w:val="0004686F"/>
    <w:rsid w:val="00085DD2"/>
    <w:rsid w:val="000A04EF"/>
    <w:rsid w:val="000B32F6"/>
    <w:rsid w:val="000C72DD"/>
    <w:rsid w:val="000D6577"/>
    <w:rsid w:val="000E1E3F"/>
    <w:rsid w:val="000E6869"/>
    <w:rsid w:val="000F04FC"/>
    <w:rsid w:val="000F544E"/>
    <w:rsid w:val="00182A95"/>
    <w:rsid w:val="00183015"/>
    <w:rsid w:val="001A2182"/>
    <w:rsid w:val="001D43CF"/>
    <w:rsid w:val="001D78EA"/>
    <w:rsid w:val="002060B4"/>
    <w:rsid w:val="00213A30"/>
    <w:rsid w:val="00260FDB"/>
    <w:rsid w:val="00271B8E"/>
    <w:rsid w:val="002725F8"/>
    <w:rsid w:val="00275463"/>
    <w:rsid w:val="002920D7"/>
    <w:rsid w:val="002F2225"/>
    <w:rsid w:val="002F4E26"/>
    <w:rsid w:val="002F634B"/>
    <w:rsid w:val="002F7927"/>
    <w:rsid w:val="0030012E"/>
    <w:rsid w:val="00301524"/>
    <w:rsid w:val="003126CF"/>
    <w:rsid w:val="00314AF0"/>
    <w:rsid w:val="00322128"/>
    <w:rsid w:val="003469BA"/>
    <w:rsid w:val="00363287"/>
    <w:rsid w:val="00377E2F"/>
    <w:rsid w:val="003806CB"/>
    <w:rsid w:val="003C4FCB"/>
    <w:rsid w:val="003C5BC5"/>
    <w:rsid w:val="003D6FEF"/>
    <w:rsid w:val="00411E52"/>
    <w:rsid w:val="00446BD7"/>
    <w:rsid w:val="0045029E"/>
    <w:rsid w:val="004616C2"/>
    <w:rsid w:val="00490CDF"/>
    <w:rsid w:val="00495B3E"/>
    <w:rsid w:val="004B5688"/>
    <w:rsid w:val="004C22BF"/>
    <w:rsid w:val="004E1D34"/>
    <w:rsid w:val="004E2600"/>
    <w:rsid w:val="004E2AEA"/>
    <w:rsid w:val="004E2CAC"/>
    <w:rsid w:val="00515FC9"/>
    <w:rsid w:val="00516D6C"/>
    <w:rsid w:val="005567DC"/>
    <w:rsid w:val="00566EF4"/>
    <w:rsid w:val="00584714"/>
    <w:rsid w:val="00590615"/>
    <w:rsid w:val="005A1F7B"/>
    <w:rsid w:val="005A53BA"/>
    <w:rsid w:val="005A79B9"/>
    <w:rsid w:val="005B7EA5"/>
    <w:rsid w:val="005D70BD"/>
    <w:rsid w:val="005F5B1E"/>
    <w:rsid w:val="005F7FA5"/>
    <w:rsid w:val="006010F5"/>
    <w:rsid w:val="00625C9C"/>
    <w:rsid w:val="00640DC4"/>
    <w:rsid w:val="00650B60"/>
    <w:rsid w:val="006545D9"/>
    <w:rsid w:val="00676535"/>
    <w:rsid w:val="00690AC1"/>
    <w:rsid w:val="00692FC9"/>
    <w:rsid w:val="006A209A"/>
    <w:rsid w:val="006A4E5A"/>
    <w:rsid w:val="006A7334"/>
    <w:rsid w:val="006B4BF6"/>
    <w:rsid w:val="006B7145"/>
    <w:rsid w:val="006C0222"/>
    <w:rsid w:val="006D5365"/>
    <w:rsid w:val="006E1485"/>
    <w:rsid w:val="006E566D"/>
    <w:rsid w:val="00701918"/>
    <w:rsid w:val="00706CBF"/>
    <w:rsid w:val="007153B6"/>
    <w:rsid w:val="007165D2"/>
    <w:rsid w:val="00747627"/>
    <w:rsid w:val="00787783"/>
    <w:rsid w:val="00790491"/>
    <w:rsid w:val="007E1BA8"/>
    <w:rsid w:val="007E752C"/>
    <w:rsid w:val="00803831"/>
    <w:rsid w:val="0081212C"/>
    <w:rsid w:val="00816616"/>
    <w:rsid w:val="00816786"/>
    <w:rsid w:val="00820BC6"/>
    <w:rsid w:val="0082435B"/>
    <w:rsid w:val="00824E19"/>
    <w:rsid w:val="00862693"/>
    <w:rsid w:val="00890342"/>
    <w:rsid w:val="008C42BA"/>
    <w:rsid w:val="008C70C4"/>
    <w:rsid w:val="008D2B69"/>
    <w:rsid w:val="008E578F"/>
    <w:rsid w:val="008E5E30"/>
    <w:rsid w:val="008F00C9"/>
    <w:rsid w:val="008F6A80"/>
    <w:rsid w:val="00903968"/>
    <w:rsid w:val="00936B7B"/>
    <w:rsid w:val="009637EE"/>
    <w:rsid w:val="009729C7"/>
    <w:rsid w:val="00A12317"/>
    <w:rsid w:val="00A249C6"/>
    <w:rsid w:val="00A40F61"/>
    <w:rsid w:val="00A64406"/>
    <w:rsid w:val="00A65B4E"/>
    <w:rsid w:val="00AA7BD9"/>
    <w:rsid w:val="00AD6B25"/>
    <w:rsid w:val="00AE52AF"/>
    <w:rsid w:val="00B56CFA"/>
    <w:rsid w:val="00B90BF7"/>
    <w:rsid w:val="00B97D5B"/>
    <w:rsid w:val="00BA135A"/>
    <w:rsid w:val="00BA1B82"/>
    <w:rsid w:val="00C00802"/>
    <w:rsid w:val="00C046B5"/>
    <w:rsid w:val="00C55824"/>
    <w:rsid w:val="00C573F2"/>
    <w:rsid w:val="00C70FBD"/>
    <w:rsid w:val="00C762B4"/>
    <w:rsid w:val="00C808C3"/>
    <w:rsid w:val="00C957DA"/>
    <w:rsid w:val="00CA4D3C"/>
    <w:rsid w:val="00CB59A1"/>
    <w:rsid w:val="00CC4DFA"/>
    <w:rsid w:val="00CD4600"/>
    <w:rsid w:val="00CF7E5C"/>
    <w:rsid w:val="00D1548D"/>
    <w:rsid w:val="00D34AF1"/>
    <w:rsid w:val="00D50BC3"/>
    <w:rsid w:val="00D7276D"/>
    <w:rsid w:val="00D81400"/>
    <w:rsid w:val="00D814ED"/>
    <w:rsid w:val="00D942D9"/>
    <w:rsid w:val="00DE5F7B"/>
    <w:rsid w:val="00DF1651"/>
    <w:rsid w:val="00E175D7"/>
    <w:rsid w:val="00E20638"/>
    <w:rsid w:val="00E23CBB"/>
    <w:rsid w:val="00E61A6F"/>
    <w:rsid w:val="00E629A9"/>
    <w:rsid w:val="00E63A03"/>
    <w:rsid w:val="00E64124"/>
    <w:rsid w:val="00E717B0"/>
    <w:rsid w:val="00E97AEB"/>
    <w:rsid w:val="00EC1317"/>
    <w:rsid w:val="00EF0790"/>
    <w:rsid w:val="00EF5622"/>
    <w:rsid w:val="00F02770"/>
    <w:rsid w:val="00F17C74"/>
    <w:rsid w:val="00F23227"/>
    <w:rsid w:val="00F32C4F"/>
    <w:rsid w:val="00F449E2"/>
    <w:rsid w:val="00F52B41"/>
    <w:rsid w:val="00F5675D"/>
    <w:rsid w:val="00F85816"/>
    <w:rsid w:val="00F90F13"/>
    <w:rsid w:val="00FA7A06"/>
    <w:rsid w:val="00FB0192"/>
    <w:rsid w:val="00FB3E48"/>
    <w:rsid w:val="00FC31A1"/>
    <w:rsid w:val="00FF2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425E"/>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824"/>
    <w:pPr>
      <w:spacing w:before="240" w:after="240" w:line="360" w:lineRule="auto"/>
      <w:jc w:val="both"/>
    </w:pPr>
  </w:style>
  <w:style w:type="paragraph" w:styleId="Heading1">
    <w:name w:val="heading 1"/>
    <w:basedOn w:val="Normal"/>
    <w:next w:val="Normal"/>
    <w:link w:val="Heading1Char"/>
    <w:uiPriority w:val="9"/>
    <w:qFormat/>
    <w:rsid w:val="00D34AF1"/>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A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A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AF1"/>
    <w:pPr>
      <w:ind w:left="720"/>
      <w:contextualSpacing/>
    </w:pPr>
  </w:style>
  <w:style w:type="character" w:customStyle="1" w:styleId="Heading1Char">
    <w:name w:val="Heading 1 Char"/>
    <w:basedOn w:val="DefaultParagraphFont"/>
    <w:link w:val="Heading1"/>
    <w:uiPriority w:val="9"/>
    <w:rsid w:val="00D34A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A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AF1"/>
    <w:rPr>
      <w:rFonts w:asciiTheme="majorHAnsi" w:eastAsiaTheme="majorEastAsia" w:hAnsiTheme="majorHAnsi" w:cstheme="majorBidi"/>
      <w:color w:val="1F3763" w:themeColor="accent1" w:themeShade="7F"/>
    </w:rPr>
  </w:style>
  <w:style w:type="paragraph" w:styleId="Caption">
    <w:name w:val="caption"/>
    <w:basedOn w:val="Normal"/>
    <w:next w:val="Normal"/>
    <w:link w:val="CaptionChar"/>
    <w:autoRedefine/>
    <w:uiPriority w:val="35"/>
    <w:unhideWhenUsed/>
    <w:qFormat/>
    <w:rsid w:val="005F5B1E"/>
    <w:pPr>
      <w:spacing w:before="0" w:after="200"/>
      <w:jc w:val="center"/>
    </w:pPr>
    <w:rPr>
      <w:i/>
      <w:iCs/>
      <w:color w:val="44546A" w:themeColor="text2"/>
      <w:sz w:val="22"/>
      <w:szCs w:val="22"/>
      <w:lang w:val="en-GB"/>
    </w:rPr>
  </w:style>
  <w:style w:type="character" w:styleId="CommentReference">
    <w:name w:val="annotation reference"/>
    <w:basedOn w:val="DefaultParagraphFont"/>
    <w:uiPriority w:val="99"/>
    <w:semiHidden/>
    <w:unhideWhenUsed/>
    <w:rsid w:val="003806CB"/>
    <w:rPr>
      <w:sz w:val="16"/>
      <w:szCs w:val="16"/>
    </w:rPr>
  </w:style>
  <w:style w:type="paragraph" w:styleId="CommentText">
    <w:name w:val="annotation text"/>
    <w:basedOn w:val="Normal"/>
    <w:link w:val="CommentTextChar"/>
    <w:uiPriority w:val="99"/>
    <w:unhideWhenUsed/>
    <w:rsid w:val="003806CB"/>
    <w:pPr>
      <w:spacing w:before="360" w:after="0"/>
    </w:pPr>
    <w:rPr>
      <w:rFonts w:eastAsia="Times New Roman" w:cs="Times New Roman"/>
      <w:sz w:val="20"/>
      <w:szCs w:val="20"/>
      <w:lang w:val="en-GB" w:eastAsia="en-GB"/>
    </w:rPr>
  </w:style>
  <w:style w:type="character" w:customStyle="1" w:styleId="CommentTextChar">
    <w:name w:val="Comment Text Char"/>
    <w:basedOn w:val="DefaultParagraphFont"/>
    <w:link w:val="CommentText"/>
    <w:uiPriority w:val="99"/>
    <w:rsid w:val="003806CB"/>
    <w:rPr>
      <w:rFonts w:eastAsia="Times New Roman" w:cs="Times New Roman"/>
      <w:sz w:val="20"/>
      <w:szCs w:val="20"/>
      <w:lang w:val="en-GB" w:eastAsia="en-GB"/>
    </w:rPr>
  </w:style>
  <w:style w:type="paragraph" w:customStyle="1" w:styleId="xmsonormal">
    <w:name w:val="x_msonormal"/>
    <w:basedOn w:val="Normal"/>
    <w:rsid w:val="003806CB"/>
    <w:pPr>
      <w:spacing w:before="100" w:beforeAutospacing="1" w:after="100" w:afterAutospacing="1"/>
    </w:pPr>
    <w:rPr>
      <w:rFonts w:eastAsia="Times New Roman" w:cs="Times New Roman"/>
      <w:lang w:val="en-AU" w:eastAsia="en-AU"/>
    </w:rPr>
  </w:style>
  <w:style w:type="character" w:customStyle="1" w:styleId="A6">
    <w:name w:val="A6"/>
    <w:uiPriority w:val="99"/>
    <w:rsid w:val="003806CB"/>
    <w:rPr>
      <w:rFonts w:cs="ScalaLancetPro"/>
      <w:color w:val="000000"/>
      <w:sz w:val="9"/>
      <w:szCs w:val="9"/>
    </w:rPr>
  </w:style>
  <w:style w:type="paragraph" w:customStyle="1" w:styleId="Panels">
    <w:name w:val="Panels"/>
    <w:basedOn w:val="Caption"/>
    <w:link w:val="PanelsChar"/>
    <w:qFormat/>
    <w:rsid w:val="003806CB"/>
    <w:rPr>
      <w:sz w:val="20"/>
    </w:rPr>
  </w:style>
  <w:style w:type="paragraph" w:customStyle="1" w:styleId="PanelText">
    <w:name w:val="Panel Text"/>
    <w:basedOn w:val="Normal"/>
    <w:link w:val="PanelTextChar"/>
    <w:qFormat/>
    <w:rsid w:val="003806CB"/>
    <w:pPr>
      <w:spacing w:line="300" w:lineRule="atLeast"/>
    </w:pPr>
    <w:rPr>
      <w:rFonts w:ascii="Calibri" w:eastAsia="Times New Roman" w:hAnsi="Calibri" w:cs="Times New Roman"/>
      <w:sz w:val="20"/>
      <w:szCs w:val="22"/>
      <w:lang w:val="en" w:eastAsia="en-GB"/>
    </w:rPr>
  </w:style>
  <w:style w:type="character" w:customStyle="1" w:styleId="CaptionChar">
    <w:name w:val="Caption Char"/>
    <w:basedOn w:val="DefaultParagraphFont"/>
    <w:link w:val="Caption"/>
    <w:uiPriority w:val="35"/>
    <w:rsid w:val="005F5B1E"/>
    <w:rPr>
      <w:i/>
      <w:iCs/>
      <w:color w:val="44546A" w:themeColor="text2"/>
      <w:sz w:val="22"/>
      <w:szCs w:val="22"/>
      <w:lang w:val="en-GB"/>
    </w:rPr>
  </w:style>
  <w:style w:type="character" w:customStyle="1" w:styleId="PanelsChar">
    <w:name w:val="Panels Char"/>
    <w:basedOn w:val="CaptionChar"/>
    <w:link w:val="Panels"/>
    <w:rsid w:val="003806CB"/>
    <w:rPr>
      <w:i/>
      <w:iCs/>
      <w:color w:val="44546A" w:themeColor="text2"/>
      <w:sz w:val="20"/>
      <w:szCs w:val="22"/>
      <w:lang w:val="en-GB"/>
    </w:rPr>
  </w:style>
  <w:style w:type="character" w:customStyle="1" w:styleId="PanelTextChar">
    <w:name w:val="Panel Text Char"/>
    <w:basedOn w:val="DefaultParagraphFont"/>
    <w:link w:val="PanelText"/>
    <w:rsid w:val="003806CB"/>
    <w:rPr>
      <w:rFonts w:ascii="Calibri" w:eastAsia="Times New Roman" w:hAnsi="Calibri" w:cs="Times New Roman"/>
      <w:sz w:val="20"/>
      <w:szCs w:val="22"/>
      <w:lang w:val="en" w:eastAsia="en-GB"/>
    </w:rPr>
  </w:style>
  <w:style w:type="paragraph" w:styleId="Bibliography">
    <w:name w:val="Bibliography"/>
    <w:basedOn w:val="Normal"/>
    <w:next w:val="Normal"/>
    <w:uiPriority w:val="37"/>
    <w:unhideWhenUsed/>
    <w:rsid w:val="003806CB"/>
    <w:pPr>
      <w:spacing w:before="360" w:after="0"/>
    </w:pPr>
    <w:rPr>
      <w:rFonts w:eastAsia="Times New Roman" w:cs="Times New Roman"/>
      <w:lang w:val="en-GB" w:eastAsia="en-GB"/>
    </w:rPr>
  </w:style>
  <w:style w:type="paragraph" w:styleId="Header">
    <w:name w:val="header"/>
    <w:basedOn w:val="Normal"/>
    <w:link w:val="HeaderChar"/>
    <w:uiPriority w:val="99"/>
    <w:unhideWhenUsed/>
    <w:rsid w:val="00E97AE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97AEB"/>
  </w:style>
  <w:style w:type="paragraph" w:styleId="Footer">
    <w:name w:val="footer"/>
    <w:basedOn w:val="Normal"/>
    <w:link w:val="FooterChar"/>
    <w:uiPriority w:val="99"/>
    <w:unhideWhenUsed/>
    <w:rsid w:val="00E97AE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97AEB"/>
  </w:style>
  <w:style w:type="paragraph" w:styleId="CommentSubject">
    <w:name w:val="annotation subject"/>
    <w:basedOn w:val="CommentText"/>
    <w:next w:val="CommentText"/>
    <w:link w:val="CommentSubjectChar"/>
    <w:uiPriority w:val="99"/>
    <w:semiHidden/>
    <w:unhideWhenUsed/>
    <w:rsid w:val="009637EE"/>
    <w:pPr>
      <w:spacing w:before="240" w:after="240" w:line="240" w:lineRule="auto"/>
    </w:pPr>
    <w:rPr>
      <w:rFonts w:eastAsiaTheme="minorHAnsi" w:cstheme="minorBidi"/>
      <w:b/>
      <w:bCs/>
      <w:lang w:val="en-US" w:eastAsia="en-US"/>
    </w:rPr>
  </w:style>
  <w:style w:type="character" w:customStyle="1" w:styleId="CommentSubjectChar">
    <w:name w:val="Comment Subject Char"/>
    <w:basedOn w:val="CommentTextChar"/>
    <w:link w:val="CommentSubject"/>
    <w:uiPriority w:val="99"/>
    <w:semiHidden/>
    <w:rsid w:val="009637EE"/>
    <w:rPr>
      <w:rFonts w:eastAsia="Times New Roman" w:cs="Times New Roman"/>
      <w:b/>
      <w:bCs/>
      <w:sz w:val="20"/>
      <w:szCs w:val="20"/>
      <w:lang w:val="en-GB" w:eastAsia="en-GB"/>
    </w:rPr>
  </w:style>
  <w:style w:type="paragraph" w:customStyle="1" w:styleId="Methodsheadings">
    <w:name w:val="Methods headings"/>
    <w:basedOn w:val="Normal"/>
    <w:link w:val="MethodsheadingsChar"/>
    <w:qFormat/>
    <w:rsid w:val="00820BC6"/>
    <w:pPr>
      <w:spacing w:before="0" w:after="160" w:line="240" w:lineRule="auto"/>
      <w:jc w:val="left"/>
    </w:pPr>
    <w:rPr>
      <w:rFonts w:ascii="Times New Roman" w:hAnsi="Times New Roman"/>
      <w:b/>
      <w:sz w:val="20"/>
      <w:szCs w:val="22"/>
      <w:lang w:val="en-AU"/>
    </w:rPr>
  </w:style>
  <w:style w:type="character" w:customStyle="1" w:styleId="MethodsheadingsChar">
    <w:name w:val="Methods headings Char"/>
    <w:basedOn w:val="DefaultParagraphFont"/>
    <w:link w:val="Methodsheadings"/>
    <w:rsid w:val="00820BC6"/>
    <w:rPr>
      <w:rFonts w:ascii="Times New Roman" w:hAnsi="Times New Roman"/>
      <w:b/>
      <w:sz w:val="20"/>
      <w:szCs w:val="22"/>
      <w:lang w:val="en-AU"/>
    </w:rPr>
  </w:style>
  <w:style w:type="paragraph" w:styleId="NormalWeb">
    <w:name w:val="Normal (Web)"/>
    <w:basedOn w:val="Normal"/>
    <w:uiPriority w:val="99"/>
    <w:semiHidden/>
    <w:unhideWhenUsed/>
    <w:rsid w:val="00A249C6"/>
    <w:pPr>
      <w:spacing w:before="100" w:beforeAutospacing="1" w:after="100" w:afterAutospacing="1" w:line="240" w:lineRule="auto"/>
      <w:jc w:val="left"/>
    </w:pPr>
    <w:rPr>
      <w:rFonts w:ascii="Times New Roman" w:eastAsia="Times New Roman" w:hAnsi="Times New Roman" w:cs="Times New Roman"/>
    </w:rPr>
  </w:style>
  <w:style w:type="character" w:styleId="Mention">
    <w:name w:val="Mention"/>
    <w:basedOn w:val="DefaultParagraphFont"/>
    <w:uiPriority w:val="99"/>
    <w:unhideWhenUsed/>
    <w:rsid w:val="006A733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451874">
      <w:bodyDiv w:val="1"/>
      <w:marLeft w:val="0"/>
      <w:marRight w:val="0"/>
      <w:marTop w:val="0"/>
      <w:marBottom w:val="0"/>
      <w:divBdr>
        <w:top w:val="none" w:sz="0" w:space="0" w:color="auto"/>
        <w:left w:val="none" w:sz="0" w:space="0" w:color="auto"/>
        <w:bottom w:val="none" w:sz="0" w:space="0" w:color="auto"/>
        <w:right w:val="none" w:sz="0" w:space="0" w:color="auto"/>
      </w:divBdr>
      <w:divsChild>
        <w:div w:id="168257020">
          <w:marLeft w:val="0"/>
          <w:marRight w:val="0"/>
          <w:marTop w:val="0"/>
          <w:marBottom w:val="0"/>
          <w:divBdr>
            <w:top w:val="none" w:sz="0" w:space="0" w:color="auto"/>
            <w:left w:val="none" w:sz="0" w:space="0" w:color="auto"/>
            <w:bottom w:val="none" w:sz="0" w:space="0" w:color="auto"/>
            <w:right w:val="none" w:sz="0" w:space="0" w:color="auto"/>
          </w:divBdr>
          <w:divsChild>
            <w:div w:id="365179838">
              <w:marLeft w:val="0"/>
              <w:marRight w:val="0"/>
              <w:marTop w:val="0"/>
              <w:marBottom w:val="0"/>
              <w:divBdr>
                <w:top w:val="none" w:sz="0" w:space="0" w:color="auto"/>
                <w:left w:val="none" w:sz="0" w:space="0" w:color="auto"/>
                <w:bottom w:val="none" w:sz="0" w:space="0" w:color="auto"/>
                <w:right w:val="none" w:sz="0" w:space="0" w:color="auto"/>
              </w:divBdr>
              <w:divsChild>
                <w:div w:id="1559436020">
                  <w:marLeft w:val="0"/>
                  <w:marRight w:val="0"/>
                  <w:marTop w:val="0"/>
                  <w:marBottom w:val="0"/>
                  <w:divBdr>
                    <w:top w:val="none" w:sz="0" w:space="0" w:color="auto"/>
                    <w:left w:val="none" w:sz="0" w:space="0" w:color="auto"/>
                    <w:bottom w:val="none" w:sz="0" w:space="0" w:color="auto"/>
                    <w:right w:val="none" w:sz="0" w:space="0" w:color="auto"/>
                  </w:divBdr>
                  <w:divsChild>
                    <w:div w:id="16465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5705">
      <w:bodyDiv w:val="1"/>
      <w:marLeft w:val="0"/>
      <w:marRight w:val="0"/>
      <w:marTop w:val="0"/>
      <w:marBottom w:val="0"/>
      <w:divBdr>
        <w:top w:val="none" w:sz="0" w:space="0" w:color="auto"/>
        <w:left w:val="none" w:sz="0" w:space="0" w:color="auto"/>
        <w:bottom w:val="none" w:sz="0" w:space="0" w:color="auto"/>
        <w:right w:val="none" w:sz="0" w:space="0" w:color="auto"/>
      </w:divBdr>
    </w:div>
    <w:div w:id="1151167449">
      <w:bodyDiv w:val="1"/>
      <w:marLeft w:val="0"/>
      <w:marRight w:val="0"/>
      <w:marTop w:val="0"/>
      <w:marBottom w:val="0"/>
      <w:divBdr>
        <w:top w:val="none" w:sz="0" w:space="0" w:color="auto"/>
        <w:left w:val="none" w:sz="0" w:space="0" w:color="auto"/>
        <w:bottom w:val="none" w:sz="0" w:space="0" w:color="auto"/>
        <w:right w:val="none" w:sz="0" w:space="0" w:color="auto"/>
      </w:divBdr>
    </w:div>
    <w:div w:id="198091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C6F6-3D08-4379-9984-FF89387D5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Federico Tartarini</cp:lastModifiedBy>
  <cp:revision>133</cp:revision>
  <dcterms:created xsi:type="dcterms:W3CDTF">2024-12-13T13:52:00Z</dcterms:created>
  <dcterms:modified xsi:type="dcterms:W3CDTF">2025-03-06T04:39:00Z</dcterms:modified>
</cp:coreProperties>
</file>