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3BD7DC" w14:textId="5241265F" w:rsidR="003806CB" w:rsidRPr="00ED5643" w:rsidRDefault="00E35D00" w:rsidP="003806CB">
      <w:pPr>
        <w:pStyle w:val="Heading1"/>
        <w:jc w:val="left"/>
      </w:pPr>
      <w:bookmarkStart w:id="0" w:name="_Toc72495095"/>
      <w:r w:rsidRPr="00E35D00">
        <w:t>Section 1: Health Hazards, Exposure, and Impact</w:t>
      </w:r>
      <w:bookmarkEnd w:id="0"/>
    </w:p>
    <w:p w14:paraId="1D53F37C" w14:textId="7A15C03E" w:rsidR="00377E2F" w:rsidRPr="00ED5643" w:rsidRDefault="00377E2F" w:rsidP="003806CB">
      <w:pPr>
        <w:jc w:val="left"/>
        <w:rPr>
          <w:rFonts w:ascii="Calibri" w:hAnsi="Calibri"/>
        </w:rPr>
      </w:pPr>
      <w:bookmarkStart w:id="1" w:name="_Toc517101510"/>
      <w:r>
        <w:rPr>
          <w:rFonts w:ascii="Calibri" w:hAnsi="Calibri"/>
        </w:rPr>
        <w:t xml:space="preserve">One paragraph introduction to section here.  </w:t>
      </w:r>
    </w:p>
    <w:p w14:paraId="45C6D2D0" w14:textId="0C749690" w:rsidR="003806CB" w:rsidRDefault="002641ED" w:rsidP="003806CB">
      <w:pPr>
        <w:pStyle w:val="Heading2"/>
        <w:jc w:val="left"/>
      </w:pPr>
      <w:bookmarkStart w:id="2" w:name="_Toc47088900"/>
      <w:bookmarkStart w:id="3" w:name="_Toc72495096"/>
      <w:r w:rsidRPr="002641ED">
        <w:t>1.1 Health and heat</w:t>
      </w:r>
      <w:bookmarkEnd w:id="2"/>
      <w:bookmarkEnd w:id="3"/>
    </w:p>
    <w:p w14:paraId="4D38EE91" w14:textId="5C0B9261" w:rsidR="007E752C" w:rsidRPr="007E752C" w:rsidRDefault="007E752C" w:rsidP="007E752C">
      <w:pPr>
        <w:rPr>
          <w:lang w:val="en-GB"/>
        </w:rPr>
      </w:pPr>
      <w:commentRangeStart w:id="4"/>
      <w:r w:rsidRPr="00543741">
        <w:rPr>
          <w:highlight w:val="yellow"/>
          <w:lang w:val="en-GB"/>
        </w:rPr>
        <w:t>Two to three sentences about the overall topic of this indicator group.</w:t>
      </w:r>
      <w:r>
        <w:rPr>
          <w:lang w:val="en-GB"/>
        </w:rPr>
        <w:t xml:space="preserve"> </w:t>
      </w:r>
      <w:commentRangeEnd w:id="4"/>
      <w:r w:rsidR="008923AF">
        <w:rPr>
          <w:rStyle w:val="CommentReference"/>
          <w:rFonts w:eastAsia="Times New Roman" w:cs="Times New Roman"/>
          <w:lang w:val="en-GB" w:eastAsia="en-GB"/>
        </w:rPr>
        <w:commentReference w:id="4"/>
      </w:r>
    </w:p>
    <w:p w14:paraId="77925EC2" w14:textId="5C9E8D42" w:rsidR="003806CB" w:rsidRPr="007E752C" w:rsidRDefault="00543741" w:rsidP="003806CB">
      <w:pPr>
        <w:pStyle w:val="Heading3"/>
        <w:rPr>
          <w:lang w:val="en-GB"/>
        </w:rPr>
      </w:pPr>
      <w:bookmarkStart w:id="6" w:name="_Toc72495097"/>
      <w:bookmarkStart w:id="7" w:name="_Toc47088901"/>
      <w:r w:rsidRPr="00543741">
        <w:rPr>
          <w:lang w:val="en-GB"/>
        </w:rPr>
        <w:t xml:space="preserve">Indicator 1.1.1: exposure of vulnerable populations to </w:t>
      </w:r>
      <w:commentRangeStart w:id="8"/>
      <w:r w:rsidRPr="00543741">
        <w:rPr>
          <w:lang w:val="en-GB"/>
        </w:rPr>
        <w:t>heatwaves</w:t>
      </w:r>
      <w:bookmarkEnd w:id="6"/>
      <w:commentRangeEnd w:id="8"/>
      <w:r w:rsidR="00080617">
        <w:rPr>
          <w:rStyle w:val="CommentReference"/>
          <w:rFonts w:asciiTheme="minorHAnsi" w:eastAsia="Times New Roman" w:hAnsiTheme="minorHAnsi" w:cs="Times New Roman"/>
          <w:color w:val="auto"/>
          <w:lang w:val="en-GB" w:eastAsia="en-GB"/>
        </w:rPr>
        <w:commentReference w:id="8"/>
      </w:r>
    </w:p>
    <w:p w14:paraId="24623057" w14:textId="286BAC05" w:rsidR="003806CB" w:rsidRPr="00E105E6" w:rsidRDefault="003806CB" w:rsidP="00260FDB">
      <w:r w:rsidRPr="00E105E6">
        <w:rPr>
          <w:i/>
          <w:iCs/>
        </w:rPr>
        <w:t xml:space="preserve">Headline </w:t>
      </w:r>
      <w:proofErr w:type="gramStart"/>
      <w:r w:rsidRPr="00E105E6">
        <w:rPr>
          <w:i/>
          <w:iCs/>
        </w:rPr>
        <w:t>finding:</w:t>
      </w:r>
      <w:proofErr w:type="gramEnd"/>
      <w:r w:rsidR="001665A5" w:rsidRPr="00E105E6">
        <w:rPr>
          <w:i/>
          <w:iCs/>
        </w:rPr>
        <w:t xml:space="preserve"> individuals over 65 years </w:t>
      </w:r>
      <w:r w:rsidR="00BD7581">
        <w:rPr>
          <w:i/>
          <w:iCs/>
        </w:rPr>
        <w:t>and 75 years of age,</w:t>
      </w:r>
      <w:r w:rsidR="001665A5" w:rsidRPr="00E105E6">
        <w:rPr>
          <w:i/>
          <w:iCs/>
        </w:rPr>
        <w:t xml:space="preserve"> and infants under </w:t>
      </w:r>
      <w:r w:rsidR="002D5352">
        <w:rPr>
          <w:i/>
          <w:iCs/>
          <w:lang w:val="x-none"/>
        </w:rPr>
        <w:t>one-year-old</w:t>
      </w:r>
      <w:r w:rsidR="00726CDE" w:rsidRPr="00E105E6">
        <w:rPr>
          <w:i/>
          <w:iCs/>
        </w:rPr>
        <w:t xml:space="preserve"> for the first time experienced </w:t>
      </w:r>
      <w:r w:rsidR="00E105E6" w:rsidRPr="00E105E6">
        <w:rPr>
          <w:i/>
          <w:iCs/>
        </w:rPr>
        <w:t xml:space="preserve">on average </w:t>
      </w:r>
      <w:commentRangeStart w:id="9"/>
      <w:r w:rsidR="00726CDE" w:rsidRPr="00E105E6">
        <w:rPr>
          <w:i/>
          <w:iCs/>
        </w:rPr>
        <w:t>20.</w:t>
      </w:r>
      <w:commentRangeEnd w:id="9"/>
      <w:r w:rsidR="008C27F4">
        <w:rPr>
          <w:i/>
          <w:iCs/>
        </w:rPr>
        <w:t>8</w:t>
      </w:r>
      <w:r w:rsidR="00124B96">
        <w:rPr>
          <w:i/>
          <w:iCs/>
        </w:rPr>
        <w:t>, 21.1,</w:t>
      </w:r>
      <w:r w:rsidR="008C27F4">
        <w:rPr>
          <w:i/>
          <w:iCs/>
        </w:rPr>
        <w:t xml:space="preserve"> and 20.</w:t>
      </w:r>
      <w:r w:rsidR="00124B96">
        <w:rPr>
          <w:i/>
          <w:iCs/>
        </w:rPr>
        <w:t>5</w:t>
      </w:r>
      <w:r w:rsidR="00E105E6">
        <w:rPr>
          <w:rStyle w:val="CommentReference"/>
          <w:rFonts w:eastAsia="Times New Roman" w:cs="Times New Roman"/>
          <w:lang w:val="en-GB" w:eastAsia="en-GB"/>
        </w:rPr>
        <w:commentReference w:id="9"/>
      </w:r>
      <w:r w:rsidR="00726CDE" w:rsidRPr="00E105E6">
        <w:rPr>
          <w:i/>
          <w:iCs/>
        </w:rPr>
        <w:t xml:space="preserve"> </w:t>
      </w:r>
      <w:r w:rsidR="00E105E6" w:rsidRPr="00E105E6">
        <w:rPr>
          <w:i/>
          <w:iCs/>
        </w:rPr>
        <w:t>days of heatwave per person</w:t>
      </w:r>
      <w:r w:rsidR="008C27F4">
        <w:rPr>
          <w:i/>
          <w:iCs/>
        </w:rPr>
        <w:t>, respectively</w:t>
      </w:r>
    </w:p>
    <w:p w14:paraId="7BD9CA71" w14:textId="280132CC" w:rsidR="007D74D6" w:rsidRDefault="007D74D6" w:rsidP="007D74D6">
      <w:r>
        <w:t>Heatwaves pose a significant health risk, particularly for older adults, infants, and individuals with chronic conditions such as cardiovascular, respiratory, or kidney diseases. They also heighten the likelihood of adverse pregnancy and birth outcomes and can exacerbate neurological disorders.</w:t>
      </w:r>
    </w:p>
    <w:p w14:paraId="25FF0BDD" w14:textId="50EEF569" w:rsidR="007D74D6" w:rsidRDefault="007D74D6" w:rsidP="007D74D6">
      <w:r>
        <w:t>This indicator monitors heatwave exposure among vulnerable age groups—infants under one year and adults over 65</w:t>
      </w:r>
      <w:r w:rsidR="0038354A">
        <w:t xml:space="preserve"> and 75 years of age</w:t>
      </w:r>
      <w:r>
        <w:t>—by tracking the number of heatwave days they experience. For this analysis, heatwaves are defined as periods of at least two consecutive days where both minimum and maximum temperatures exceed the 95th percentile of local climatology, based on the 1986–2005 baseline.</w:t>
      </w:r>
    </w:p>
    <w:p w14:paraId="1C0468EF" w14:textId="4F555383" w:rsidR="002F0FEA" w:rsidRDefault="007D74D6" w:rsidP="007D74D6">
      <w:r>
        <w:t>To separate the effects of increasing heatwave frequency from demographic shifts, a counterfactual scenario was developed in which heatwave incidence remains constant at baseline levels, allowing for a clearer evaluation of the impact of population growth and aging.</w:t>
      </w:r>
    </w:p>
    <w:p w14:paraId="09CDBD0D" w14:textId="0BD764CF" w:rsidR="00113030" w:rsidRDefault="00C24422" w:rsidP="007D74D6">
      <w:r w:rsidRPr="00C24422">
        <w:t xml:space="preserve">In 2024, </w:t>
      </w:r>
      <w:r w:rsidR="00761E1A">
        <w:t>all</w:t>
      </w:r>
      <w:r w:rsidRPr="00C24422">
        <w:t xml:space="preserve"> vulnerable age groups experienced a</w:t>
      </w:r>
      <w:r w:rsidR="00761E1A">
        <w:t xml:space="preserve">n </w:t>
      </w:r>
      <w:r w:rsidRPr="00C24422">
        <w:t>increase in total heatwave person-days compared to 2023. Older adults (65+) recorded an unprecedented 17.</w:t>
      </w:r>
      <w:r w:rsidR="00394E76">
        <w:t>7</w:t>
      </w:r>
      <w:r w:rsidRPr="00C24422">
        <w:t xml:space="preserve"> billion person-days of heatwaves</w:t>
      </w:r>
      <w:r w:rsidR="00C86888">
        <w:t xml:space="preserve"> – an increase of 49% compared to 2023</w:t>
      </w:r>
      <w:r w:rsidR="00155BAF">
        <w:t>. Out of these</w:t>
      </w:r>
      <w:r w:rsidR="00597CB9">
        <w:t>,</w:t>
      </w:r>
      <w:r w:rsidR="00155BAF">
        <w:t xml:space="preserve"> </w:t>
      </w:r>
      <w:r w:rsidR="00804B15">
        <w:t>6.4 billion person-days where experienced by people aged 75 year or over.</w:t>
      </w:r>
      <w:r w:rsidRPr="00C24422">
        <w:t xml:space="preserve"> </w:t>
      </w:r>
      <w:r w:rsidR="00804B15">
        <w:t>I</w:t>
      </w:r>
      <w:r w:rsidRPr="00C24422">
        <w:t xml:space="preserve">nfants under one year experienced 2.9 billion </w:t>
      </w:r>
      <w:r w:rsidRPr="00C24422">
        <w:lastRenderedPageBreak/>
        <w:t>person-days</w:t>
      </w:r>
      <w:r w:rsidR="00597CB9">
        <w:t xml:space="preserve"> – an increase of 67% compared to 2023</w:t>
      </w:r>
      <w:r w:rsidRPr="00C24422">
        <w:t xml:space="preserve">. On average </w:t>
      </w:r>
      <w:r w:rsidR="00D64DF0">
        <w:t>worldwide</w:t>
      </w:r>
      <w:r w:rsidR="00F90965">
        <w:t>,</w:t>
      </w:r>
      <w:r w:rsidR="00D64DF0">
        <w:t xml:space="preserve"> an </w:t>
      </w:r>
      <w:r w:rsidRPr="00C24422">
        <w:t>older adult</w:t>
      </w:r>
      <w:r w:rsidR="00D64DF0">
        <w:t xml:space="preserve"> (65+)</w:t>
      </w:r>
      <w:r w:rsidRPr="00C24422">
        <w:t xml:space="preserve"> </w:t>
      </w:r>
      <w:r w:rsidR="00D64DF0">
        <w:t>was exposed to</w:t>
      </w:r>
      <w:r w:rsidRPr="00C24422">
        <w:t xml:space="preserve"> 20.8 heatwave days per person, while </w:t>
      </w:r>
      <w:r w:rsidR="00F90965">
        <w:t xml:space="preserve">an </w:t>
      </w:r>
      <w:r w:rsidRPr="00C24422">
        <w:t>infant experienced 20.</w:t>
      </w:r>
      <w:r w:rsidR="00D941D3">
        <w:t>5</w:t>
      </w:r>
      <w:r w:rsidRPr="00C24422">
        <w:t xml:space="preserve"> days. </w:t>
      </w:r>
      <w:r w:rsidR="00113030" w:rsidRPr="00113030">
        <w:t>"Low" HDI countries saw the fastest growth in average annual heatwave days per person for both vulnerable</w:t>
      </w:r>
      <w:r w:rsidR="00113030">
        <w:t xml:space="preserve"> groups, rising from 7.5 to 21.0 days—a 181% increase. Meanwhile, "High" HDI countries recorded the highest average exposure, reaching 23.3 heatwave days per person per year.</w:t>
      </w:r>
    </w:p>
    <w:p w14:paraId="14B38AA2" w14:textId="77777777" w:rsidR="003806CB" w:rsidRPr="00ED5643" w:rsidRDefault="003806CB" w:rsidP="003806CB">
      <w:pPr>
        <w:pStyle w:val="Heading2"/>
        <w:jc w:val="left"/>
      </w:pPr>
      <w:bookmarkStart w:id="10" w:name="_Toc47088916"/>
      <w:bookmarkStart w:id="11" w:name="_Toc72495114"/>
      <w:bookmarkEnd w:id="7"/>
      <w:r w:rsidRPr="00ED5643">
        <w:t>Conclusion</w:t>
      </w:r>
      <w:bookmarkEnd w:id="10"/>
      <w:bookmarkEnd w:id="11"/>
    </w:p>
    <w:bookmarkEnd w:id="1"/>
    <w:p w14:paraId="2138D749" w14:textId="0EE501A1" w:rsidR="002E42DD" w:rsidRPr="00543741" w:rsidRDefault="002E42DD" w:rsidP="002E42DD">
      <w:r w:rsidRPr="00C24422">
        <w:t xml:space="preserve">In 2024, </w:t>
      </w:r>
      <w:r>
        <w:t>all</w:t>
      </w:r>
      <w:r w:rsidRPr="00C24422">
        <w:t xml:space="preserve"> vulnerable age groups</w:t>
      </w:r>
      <w:r>
        <w:t xml:space="preserve"> experienced a rise in heatwave exposure by more than 44%. A combined total of </w:t>
      </w:r>
      <w:r w:rsidRPr="001C3CB4">
        <w:t>9.3</w:t>
      </w:r>
      <w:r>
        <w:t xml:space="preserve"> billion days were experienced by the most vulnerable people (under one year or above 75 years of age.</w:t>
      </w:r>
      <w:r w:rsidR="00C74AD8">
        <w:t xml:space="preserve"> </w:t>
      </w:r>
      <w:r w:rsidR="00C74AD8" w:rsidRPr="00C24422">
        <w:t xml:space="preserve">If heatwave </w:t>
      </w:r>
      <w:r w:rsidR="00C74AD8" w:rsidRPr="00113030">
        <w:t xml:space="preserve">incidence had remained at 1986–2005 levels, their exposure would have been </w:t>
      </w:r>
      <w:r w:rsidR="00C74AD8">
        <w:t>50% lower</w:t>
      </w:r>
      <w:r w:rsidR="00C74AD8" w:rsidRPr="00113030">
        <w:t>.</w:t>
      </w:r>
    </w:p>
    <w:p w14:paraId="0997D6AF" w14:textId="1EF7BDCB" w:rsidR="003806CB" w:rsidRPr="006E1485" w:rsidRDefault="003806CB" w:rsidP="002E42DD"/>
    <w:sectPr w:rsidR="003806CB" w:rsidRPr="006E1485" w:rsidSect="00032671">
      <w:headerReference w:type="default" r:id="rId12"/>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4" w:author="Federico Tartarini" w:date="2025-03-06T17:33:00Z" w:initials="f">
    <w:p w14:paraId="16CD4EE8" w14:textId="0039DA36" w:rsidR="008923AF" w:rsidRDefault="008923AF" w:rsidP="008923AF">
      <w:pPr>
        <w:jc w:val="left"/>
      </w:pPr>
      <w:r>
        <w:rPr>
          <w:rStyle w:val="CommentReference"/>
        </w:rPr>
        <w:annotationRef/>
      </w:r>
      <w:r>
        <w:rPr>
          <w:rFonts w:eastAsia="Times New Roman" w:cs="Times New Roman"/>
          <w:sz w:val="20"/>
          <w:szCs w:val="20"/>
          <w:lang w:val="en-GB" w:eastAsia="en-GB"/>
        </w:rPr>
        <w:fldChar w:fldCharType="begin"/>
      </w:r>
      <w:r>
        <w:rPr>
          <w:rFonts w:eastAsia="Times New Roman" w:cs="Times New Roman"/>
          <w:sz w:val="20"/>
          <w:szCs w:val="20"/>
          <w:lang w:val="en-GB" w:eastAsia="en-GB"/>
        </w:rPr>
        <w:instrText>HYPERLINK "mailto:ollie.jay@sydney.edu.au"</w:instrText>
      </w:r>
      <w:r>
        <w:rPr>
          <w:rFonts w:eastAsia="Times New Roman" w:cs="Times New Roman"/>
          <w:sz w:val="20"/>
          <w:szCs w:val="20"/>
          <w:lang w:val="en-GB" w:eastAsia="en-GB"/>
        </w:rPr>
      </w:r>
      <w:bookmarkStart w:id="5" w:name="_@_9FAD49F145E5C3479910530715F3BE38Z"/>
      <w:r>
        <w:rPr>
          <w:rFonts w:eastAsia="Times New Roman" w:cs="Times New Roman"/>
          <w:sz w:val="20"/>
          <w:szCs w:val="20"/>
          <w:lang w:val="en-GB" w:eastAsia="en-GB"/>
        </w:rPr>
        <w:fldChar w:fldCharType="separate"/>
      </w:r>
      <w:bookmarkEnd w:id="5"/>
      <w:r w:rsidRPr="008923AF">
        <w:rPr>
          <w:rStyle w:val="Mention"/>
          <w:rFonts w:eastAsia="Times New Roman" w:cs="Times New Roman"/>
          <w:noProof/>
          <w:sz w:val="20"/>
          <w:szCs w:val="20"/>
          <w:lang w:val="en-GB" w:eastAsia="en-GB"/>
        </w:rPr>
        <w:t>@Ollie Jay</w:t>
      </w:r>
      <w:r>
        <w:rPr>
          <w:rFonts w:eastAsia="Times New Roman" w:cs="Times New Roman"/>
          <w:sz w:val="20"/>
          <w:szCs w:val="20"/>
          <w:lang w:val="en-GB" w:eastAsia="en-GB"/>
        </w:rPr>
        <w:fldChar w:fldCharType="end"/>
      </w:r>
      <w:r>
        <w:rPr>
          <w:rFonts w:eastAsia="Times New Roman" w:cs="Times New Roman"/>
          <w:sz w:val="20"/>
          <w:szCs w:val="20"/>
          <w:lang w:val="en-GB" w:eastAsia="en-GB"/>
        </w:rPr>
        <w:t xml:space="preserve"> can you help me with this?</w:t>
      </w:r>
    </w:p>
  </w:comment>
  <w:comment w:id="8" w:author="Federico Tartarini" w:date="2025-02-27T15:34:00Z" w:initials="f">
    <w:p w14:paraId="5398F15F" w14:textId="3F76E0D0" w:rsidR="00080617" w:rsidRDefault="00080617" w:rsidP="00080617">
      <w:pPr>
        <w:jc w:val="left"/>
      </w:pPr>
      <w:r>
        <w:rPr>
          <w:rStyle w:val="CommentReference"/>
        </w:rPr>
        <w:annotationRef/>
      </w:r>
      <w:r>
        <w:rPr>
          <w:rFonts w:eastAsia="Times New Roman" w:cs="Times New Roman"/>
          <w:sz w:val="20"/>
          <w:szCs w:val="20"/>
          <w:lang w:val="en-GB" w:eastAsia="en-GB"/>
        </w:rPr>
        <w:t xml:space="preserve">Please ensure that background is updated from previous years to including recent references. Remember to include references in a comment (like this) with a full Vancouver citation and link if the source is available online. </w:t>
      </w:r>
    </w:p>
  </w:comment>
  <w:comment w:id="9" w:author="Federico Tartarini" w:date="2025-02-27T15:15:00Z" w:initials="f">
    <w:p w14:paraId="6587FAF2" w14:textId="2D5E7555" w:rsidR="00E105E6" w:rsidRDefault="00E105E6" w:rsidP="00E105E6">
      <w:pPr>
        <w:jc w:val="left"/>
      </w:pPr>
      <w:r>
        <w:rPr>
          <w:rStyle w:val="CommentReference"/>
        </w:rPr>
        <w:annotationRef/>
      </w:r>
      <w:r>
        <w:rPr>
          <w:rFonts w:eastAsia="Times New Roman" w:cs="Times New Roman"/>
          <w:sz w:val="20"/>
          <w:szCs w:val="20"/>
          <w:lang w:val="en-GB" w:eastAsia="en-GB"/>
        </w:rPr>
        <w:t>check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16CD4EE8" w15:done="0"/>
  <w15:commentEx w15:paraId="5398F15F" w15:done="0"/>
  <w15:commentEx w15:paraId="6587FAF2"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02C68A2C" w16cex:dateUtc="2025-03-06T06:33:00Z"/>
  <w16cex:commentExtensible w16cex:durableId="13A78939" w16cex:dateUtc="2025-02-27T04:34:00Z"/>
  <w16cex:commentExtensible w16cex:durableId="06144A11" w16cex:dateUtc="2025-02-27T04:1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16CD4EE8" w16cid:durableId="02C68A2C"/>
  <w16cid:commentId w16cid:paraId="5398F15F" w16cid:durableId="13A78939"/>
  <w16cid:commentId w16cid:paraId="6587FAF2" w16cid:durableId="06144A1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8144E3" w14:textId="77777777" w:rsidR="00794DA3" w:rsidRDefault="00794DA3" w:rsidP="00E97AEB">
      <w:pPr>
        <w:spacing w:before="0" w:after="0" w:line="240" w:lineRule="auto"/>
      </w:pPr>
      <w:r>
        <w:separator/>
      </w:r>
    </w:p>
  </w:endnote>
  <w:endnote w:type="continuationSeparator" w:id="0">
    <w:p w14:paraId="76AD3109" w14:textId="77777777" w:rsidR="00794DA3" w:rsidRDefault="00794DA3" w:rsidP="00E97AE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calaLancetPro">
    <w:altName w:val="Cambria"/>
    <w:panose1 w:val="020B0604020202020204"/>
    <w:charset w:val="00"/>
    <w:family w:val="roman"/>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D5291AA" w14:textId="77777777" w:rsidR="00794DA3" w:rsidRDefault="00794DA3" w:rsidP="00E97AEB">
      <w:pPr>
        <w:spacing w:before="0" w:after="0" w:line="240" w:lineRule="auto"/>
      </w:pPr>
      <w:r>
        <w:separator/>
      </w:r>
    </w:p>
  </w:footnote>
  <w:footnote w:type="continuationSeparator" w:id="0">
    <w:p w14:paraId="4E9F6928" w14:textId="77777777" w:rsidR="00794DA3" w:rsidRDefault="00794DA3" w:rsidP="00E97AE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317230" w14:textId="0EBC565A" w:rsidR="00E97AEB" w:rsidRDefault="00E97AEB">
    <w:pPr>
      <w:pStyle w:val="Header"/>
    </w:pPr>
    <w:r>
      <w:t>TEMPLATE FOR SECTION WRITE-UP</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6BF3DAE"/>
    <w:multiLevelType w:val="hybridMultilevel"/>
    <w:tmpl w:val="DD1E8C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02277491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Federico Tartarini">
    <w15:presenceInfo w15:providerId="AD" w15:userId="S::federico.tartarini@sydney.edu.au::5ec8f09e-437c-49d8-b13d-64b24f36c24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1"/>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128"/>
    <w:rsid w:val="000224A6"/>
    <w:rsid w:val="00032671"/>
    <w:rsid w:val="00042BBD"/>
    <w:rsid w:val="00080617"/>
    <w:rsid w:val="00085DD2"/>
    <w:rsid w:val="00113030"/>
    <w:rsid w:val="00124B96"/>
    <w:rsid w:val="00152286"/>
    <w:rsid w:val="00155BAF"/>
    <w:rsid w:val="001665A5"/>
    <w:rsid w:val="001C3CB4"/>
    <w:rsid w:val="001F65DA"/>
    <w:rsid w:val="002236D4"/>
    <w:rsid w:val="00260FDB"/>
    <w:rsid w:val="002641ED"/>
    <w:rsid w:val="002D5352"/>
    <w:rsid w:val="002E42DD"/>
    <w:rsid w:val="002F0FEA"/>
    <w:rsid w:val="003126CF"/>
    <w:rsid w:val="00322128"/>
    <w:rsid w:val="00344462"/>
    <w:rsid w:val="003469BA"/>
    <w:rsid w:val="003625F2"/>
    <w:rsid w:val="003775BF"/>
    <w:rsid w:val="00377E2F"/>
    <w:rsid w:val="003806CB"/>
    <w:rsid w:val="0038354A"/>
    <w:rsid w:val="00394E76"/>
    <w:rsid w:val="00423770"/>
    <w:rsid w:val="00492734"/>
    <w:rsid w:val="00496F9E"/>
    <w:rsid w:val="004B5A54"/>
    <w:rsid w:val="004B7FC7"/>
    <w:rsid w:val="004E5A9F"/>
    <w:rsid w:val="004F0172"/>
    <w:rsid w:val="00524C1A"/>
    <w:rsid w:val="00527534"/>
    <w:rsid w:val="00543741"/>
    <w:rsid w:val="0057271B"/>
    <w:rsid w:val="00591054"/>
    <w:rsid w:val="00597CB9"/>
    <w:rsid w:val="005A1F7B"/>
    <w:rsid w:val="005C0FCA"/>
    <w:rsid w:val="005C1976"/>
    <w:rsid w:val="005D70BD"/>
    <w:rsid w:val="006010F5"/>
    <w:rsid w:val="006B08FB"/>
    <w:rsid w:val="006C0222"/>
    <w:rsid w:val="006C4FA6"/>
    <w:rsid w:val="006E1485"/>
    <w:rsid w:val="006F7B74"/>
    <w:rsid w:val="00726CDE"/>
    <w:rsid w:val="00727849"/>
    <w:rsid w:val="00761E1A"/>
    <w:rsid w:val="00794DA3"/>
    <w:rsid w:val="007D74D6"/>
    <w:rsid w:val="007E1BA8"/>
    <w:rsid w:val="007E752C"/>
    <w:rsid w:val="007E7CDB"/>
    <w:rsid w:val="007F0238"/>
    <w:rsid w:val="00804B15"/>
    <w:rsid w:val="008923AF"/>
    <w:rsid w:val="008C27F4"/>
    <w:rsid w:val="008C70C4"/>
    <w:rsid w:val="008E61ED"/>
    <w:rsid w:val="008E6989"/>
    <w:rsid w:val="009155FC"/>
    <w:rsid w:val="009637EE"/>
    <w:rsid w:val="00986D2E"/>
    <w:rsid w:val="00A034D1"/>
    <w:rsid w:val="00A3094C"/>
    <w:rsid w:val="00A61E37"/>
    <w:rsid w:val="00A64406"/>
    <w:rsid w:val="00A71E2A"/>
    <w:rsid w:val="00A91115"/>
    <w:rsid w:val="00A974DE"/>
    <w:rsid w:val="00AD6B25"/>
    <w:rsid w:val="00B13C4A"/>
    <w:rsid w:val="00B55913"/>
    <w:rsid w:val="00BA1450"/>
    <w:rsid w:val="00BA1B82"/>
    <w:rsid w:val="00BA3CD2"/>
    <w:rsid w:val="00BC1449"/>
    <w:rsid w:val="00BD7581"/>
    <w:rsid w:val="00BE28CF"/>
    <w:rsid w:val="00C046B5"/>
    <w:rsid w:val="00C052CE"/>
    <w:rsid w:val="00C24422"/>
    <w:rsid w:val="00C60918"/>
    <w:rsid w:val="00C71A4A"/>
    <w:rsid w:val="00C74AD8"/>
    <w:rsid w:val="00C86888"/>
    <w:rsid w:val="00CA16AC"/>
    <w:rsid w:val="00CA774A"/>
    <w:rsid w:val="00CF7E5C"/>
    <w:rsid w:val="00D34727"/>
    <w:rsid w:val="00D34AF1"/>
    <w:rsid w:val="00D64DF0"/>
    <w:rsid w:val="00D941D3"/>
    <w:rsid w:val="00DC7E0A"/>
    <w:rsid w:val="00E105E6"/>
    <w:rsid w:val="00E35D00"/>
    <w:rsid w:val="00E64124"/>
    <w:rsid w:val="00E97AEB"/>
    <w:rsid w:val="00F133E5"/>
    <w:rsid w:val="00F90965"/>
    <w:rsid w:val="00F909D3"/>
    <w:rsid w:val="00F947A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D3425E"/>
  <w15:chartTrackingRefBased/>
  <w15:docId w15:val="{B9DF7FE8-61A5-834E-BD56-A67CBE850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BBD"/>
    <w:pPr>
      <w:spacing w:before="240" w:after="240" w:line="360" w:lineRule="auto"/>
      <w:jc w:val="both"/>
    </w:pPr>
  </w:style>
  <w:style w:type="paragraph" w:styleId="Heading1">
    <w:name w:val="heading 1"/>
    <w:basedOn w:val="Normal"/>
    <w:next w:val="Normal"/>
    <w:link w:val="Heading1Char"/>
    <w:uiPriority w:val="9"/>
    <w:qFormat/>
    <w:rsid w:val="00D34AF1"/>
    <w:pPr>
      <w:keepNext/>
      <w:keepLines/>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34AF1"/>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34AF1"/>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34AF1"/>
    <w:pPr>
      <w:ind w:left="720"/>
      <w:contextualSpacing/>
    </w:pPr>
  </w:style>
  <w:style w:type="character" w:customStyle="1" w:styleId="Heading1Char">
    <w:name w:val="Heading 1 Char"/>
    <w:basedOn w:val="DefaultParagraphFont"/>
    <w:link w:val="Heading1"/>
    <w:uiPriority w:val="9"/>
    <w:rsid w:val="00D34AF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D34AF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D34AF1"/>
    <w:rPr>
      <w:rFonts w:asciiTheme="majorHAnsi" w:eastAsiaTheme="majorEastAsia" w:hAnsiTheme="majorHAnsi" w:cstheme="majorBidi"/>
      <w:color w:val="1F3763" w:themeColor="accent1" w:themeShade="7F"/>
    </w:rPr>
  </w:style>
  <w:style w:type="paragraph" w:styleId="Caption">
    <w:name w:val="caption"/>
    <w:basedOn w:val="Normal"/>
    <w:next w:val="Normal"/>
    <w:link w:val="CaptionChar"/>
    <w:autoRedefine/>
    <w:uiPriority w:val="35"/>
    <w:unhideWhenUsed/>
    <w:qFormat/>
    <w:rsid w:val="003806CB"/>
    <w:pPr>
      <w:spacing w:before="0" w:after="200"/>
      <w:jc w:val="left"/>
    </w:pPr>
    <w:rPr>
      <w:i/>
      <w:iCs/>
      <w:color w:val="44546A" w:themeColor="text2"/>
      <w:sz w:val="22"/>
      <w:szCs w:val="22"/>
      <w:lang w:val="en-GB"/>
    </w:rPr>
  </w:style>
  <w:style w:type="character" w:styleId="CommentReference">
    <w:name w:val="annotation reference"/>
    <w:basedOn w:val="DefaultParagraphFont"/>
    <w:uiPriority w:val="99"/>
    <w:semiHidden/>
    <w:unhideWhenUsed/>
    <w:rsid w:val="003806CB"/>
    <w:rPr>
      <w:sz w:val="16"/>
      <w:szCs w:val="16"/>
    </w:rPr>
  </w:style>
  <w:style w:type="paragraph" w:styleId="CommentText">
    <w:name w:val="annotation text"/>
    <w:basedOn w:val="Normal"/>
    <w:link w:val="CommentTextChar"/>
    <w:uiPriority w:val="99"/>
    <w:unhideWhenUsed/>
    <w:rsid w:val="003806CB"/>
    <w:pPr>
      <w:spacing w:before="360" w:after="0"/>
    </w:pPr>
    <w:rPr>
      <w:rFonts w:eastAsia="Times New Roman" w:cs="Times New Roman"/>
      <w:sz w:val="20"/>
      <w:szCs w:val="20"/>
      <w:lang w:val="en-GB" w:eastAsia="en-GB"/>
    </w:rPr>
  </w:style>
  <w:style w:type="character" w:customStyle="1" w:styleId="CommentTextChar">
    <w:name w:val="Comment Text Char"/>
    <w:basedOn w:val="DefaultParagraphFont"/>
    <w:link w:val="CommentText"/>
    <w:uiPriority w:val="99"/>
    <w:rsid w:val="003806CB"/>
    <w:rPr>
      <w:rFonts w:eastAsia="Times New Roman" w:cs="Times New Roman"/>
      <w:sz w:val="20"/>
      <w:szCs w:val="20"/>
      <w:lang w:val="en-GB" w:eastAsia="en-GB"/>
    </w:rPr>
  </w:style>
  <w:style w:type="paragraph" w:customStyle="1" w:styleId="xmsonormal">
    <w:name w:val="x_msonormal"/>
    <w:basedOn w:val="Normal"/>
    <w:rsid w:val="003806CB"/>
    <w:pPr>
      <w:spacing w:before="100" w:beforeAutospacing="1" w:after="100" w:afterAutospacing="1"/>
    </w:pPr>
    <w:rPr>
      <w:rFonts w:eastAsia="Times New Roman" w:cs="Times New Roman"/>
      <w:lang w:val="en-AU" w:eastAsia="en-AU"/>
    </w:rPr>
  </w:style>
  <w:style w:type="character" w:customStyle="1" w:styleId="A6">
    <w:name w:val="A6"/>
    <w:uiPriority w:val="99"/>
    <w:rsid w:val="003806CB"/>
    <w:rPr>
      <w:rFonts w:cs="ScalaLancetPro"/>
      <w:color w:val="000000"/>
      <w:sz w:val="9"/>
      <w:szCs w:val="9"/>
    </w:rPr>
  </w:style>
  <w:style w:type="paragraph" w:customStyle="1" w:styleId="Panels">
    <w:name w:val="Panels"/>
    <w:basedOn w:val="Caption"/>
    <w:link w:val="PanelsChar"/>
    <w:qFormat/>
    <w:rsid w:val="003806CB"/>
    <w:rPr>
      <w:sz w:val="20"/>
    </w:rPr>
  </w:style>
  <w:style w:type="paragraph" w:customStyle="1" w:styleId="PanelText">
    <w:name w:val="Panel Text"/>
    <w:basedOn w:val="Normal"/>
    <w:link w:val="PanelTextChar"/>
    <w:qFormat/>
    <w:rsid w:val="003806CB"/>
    <w:pPr>
      <w:spacing w:line="300" w:lineRule="atLeast"/>
    </w:pPr>
    <w:rPr>
      <w:rFonts w:ascii="Calibri" w:eastAsia="Times New Roman" w:hAnsi="Calibri" w:cs="Times New Roman"/>
      <w:sz w:val="20"/>
      <w:szCs w:val="22"/>
      <w:lang w:val="en" w:eastAsia="en-GB"/>
    </w:rPr>
  </w:style>
  <w:style w:type="character" w:customStyle="1" w:styleId="CaptionChar">
    <w:name w:val="Caption Char"/>
    <w:basedOn w:val="DefaultParagraphFont"/>
    <w:link w:val="Caption"/>
    <w:uiPriority w:val="35"/>
    <w:rsid w:val="003806CB"/>
    <w:rPr>
      <w:i/>
      <w:iCs/>
      <w:color w:val="44546A" w:themeColor="text2"/>
      <w:sz w:val="22"/>
      <w:szCs w:val="22"/>
      <w:lang w:val="en-GB"/>
    </w:rPr>
  </w:style>
  <w:style w:type="character" w:customStyle="1" w:styleId="PanelsChar">
    <w:name w:val="Panels Char"/>
    <w:basedOn w:val="CaptionChar"/>
    <w:link w:val="Panels"/>
    <w:rsid w:val="003806CB"/>
    <w:rPr>
      <w:i/>
      <w:iCs/>
      <w:color w:val="44546A" w:themeColor="text2"/>
      <w:sz w:val="20"/>
      <w:szCs w:val="22"/>
      <w:lang w:val="en-GB"/>
    </w:rPr>
  </w:style>
  <w:style w:type="character" w:customStyle="1" w:styleId="PanelTextChar">
    <w:name w:val="Panel Text Char"/>
    <w:basedOn w:val="DefaultParagraphFont"/>
    <w:link w:val="PanelText"/>
    <w:rsid w:val="003806CB"/>
    <w:rPr>
      <w:rFonts w:ascii="Calibri" w:eastAsia="Times New Roman" w:hAnsi="Calibri" w:cs="Times New Roman"/>
      <w:sz w:val="20"/>
      <w:szCs w:val="22"/>
      <w:lang w:val="en" w:eastAsia="en-GB"/>
    </w:rPr>
  </w:style>
  <w:style w:type="paragraph" w:styleId="Bibliography">
    <w:name w:val="Bibliography"/>
    <w:basedOn w:val="Normal"/>
    <w:next w:val="Normal"/>
    <w:uiPriority w:val="37"/>
    <w:unhideWhenUsed/>
    <w:rsid w:val="003806CB"/>
    <w:pPr>
      <w:spacing w:before="360" w:after="0"/>
    </w:pPr>
    <w:rPr>
      <w:rFonts w:eastAsia="Times New Roman" w:cs="Times New Roman"/>
      <w:lang w:val="en-GB" w:eastAsia="en-GB"/>
    </w:rPr>
  </w:style>
  <w:style w:type="paragraph" w:styleId="Header">
    <w:name w:val="header"/>
    <w:basedOn w:val="Normal"/>
    <w:link w:val="HeaderChar"/>
    <w:uiPriority w:val="99"/>
    <w:unhideWhenUsed/>
    <w:rsid w:val="00E97AEB"/>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E97AEB"/>
  </w:style>
  <w:style w:type="paragraph" w:styleId="Footer">
    <w:name w:val="footer"/>
    <w:basedOn w:val="Normal"/>
    <w:link w:val="FooterChar"/>
    <w:uiPriority w:val="99"/>
    <w:unhideWhenUsed/>
    <w:rsid w:val="00E97AE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E97AEB"/>
  </w:style>
  <w:style w:type="paragraph" w:styleId="CommentSubject">
    <w:name w:val="annotation subject"/>
    <w:basedOn w:val="CommentText"/>
    <w:next w:val="CommentText"/>
    <w:link w:val="CommentSubjectChar"/>
    <w:uiPriority w:val="99"/>
    <w:semiHidden/>
    <w:unhideWhenUsed/>
    <w:rsid w:val="009637EE"/>
    <w:pPr>
      <w:spacing w:before="240" w:after="240" w:line="240" w:lineRule="auto"/>
    </w:pPr>
    <w:rPr>
      <w:rFonts w:eastAsiaTheme="minorHAnsi" w:cstheme="minorBidi"/>
      <w:b/>
      <w:bCs/>
      <w:lang w:val="en-US" w:eastAsia="en-US"/>
    </w:rPr>
  </w:style>
  <w:style w:type="character" w:customStyle="1" w:styleId="CommentSubjectChar">
    <w:name w:val="Comment Subject Char"/>
    <w:basedOn w:val="CommentTextChar"/>
    <w:link w:val="CommentSubject"/>
    <w:uiPriority w:val="99"/>
    <w:semiHidden/>
    <w:rsid w:val="009637EE"/>
    <w:rPr>
      <w:rFonts w:eastAsia="Times New Roman" w:cs="Times New Roman"/>
      <w:b/>
      <w:bCs/>
      <w:sz w:val="20"/>
      <w:szCs w:val="20"/>
      <w:lang w:val="en-GB" w:eastAsia="en-GB"/>
    </w:rPr>
  </w:style>
  <w:style w:type="character" w:styleId="Mention">
    <w:name w:val="Mention"/>
    <w:basedOn w:val="DefaultParagraphFont"/>
    <w:uiPriority w:val="99"/>
    <w:unhideWhenUsed/>
    <w:rsid w:val="008923AF"/>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microsoft.com/office/2019/05/relationships/documenttasks" Target="documenttasks/documenttasks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microsoft.com/office/2011/relationships/people" Target="people.xml"/></Relationships>
</file>

<file path=word/documenttasks/documenttasks1.xml><?xml version="1.0" encoding="utf-8"?>
<t:Tasks xmlns:t="http://schemas.microsoft.com/office/tasks/2019/documenttasks" xmlns:oel="http://schemas.microsoft.com/office/2019/extlst">
  <t:Task id="{9DE52FB4-6B8D-A044-82A0-AF23D95F9235}">
    <t:Anchor>
      <t:Comment id="46565932"/>
    </t:Anchor>
    <t:History>
      <t:Event id="{998D317B-7000-0E41-B322-5CDE474A2E91}" time="2025-03-06T06:33:19.224Z">
        <t:Attribution userId="S::federico.tartarini@sydney.edu.au::5ec8f09e-437c-49d8-b13d-64b24f36c24b" userProvider="AD" userName="Federico Tartarini"/>
        <t:Anchor>
          <t:Comment id="46565932"/>
        </t:Anchor>
        <t:Create/>
      </t:Event>
      <t:Event id="{347B2944-2423-BB4A-96B2-674C8BEF11C8}" time="2025-03-06T06:33:19.224Z">
        <t:Attribution userId="S::federico.tartarini@sydney.edu.au::5ec8f09e-437c-49d8-b13d-64b24f36c24b" userProvider="AD" userName="Federico Tartarini"/>
        <t:Anchor>
          <t:Comment id="46565932"/>
        </t:Anchor>
        <t:Assign userId="S::ollie.jay@sydney.edu.au::4adde0ff-a6bd-47a4-a814-1f0998167769" userProvider="AD" userName="Ollie Jay"/>
      </t:Event>
      <t:Event id="{CA8B8CC3-F2AA-E244-ACFD-3667D88FB708}" time="2025-03-06T06:33:19.224Z">
        <t:Attribution userId="S::federico.tartarini@sydney.edu.au::5ec8f09e-437c-49d8-b13d-64b24f36c24b" userProvider="AD" userName="Federico Tartarini"/>
        <t:Anchor>
          <t:Comment id="46565932"/>
        </t:Anchor>
        <t:SetTitle title="@Ollie Jay can you help me with this?"/>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1DC6F6-3D08-4379-9984-FF89387D5B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2</Pages>
  <Words>383</Words>
  <Characters>2188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Federico Tartarini</cp:lastModifiedBy>
  <cp:revision>77</cp:revision>
  <dcterms:created xsi:type="dcterms:W3CDTF">2024-12-13T13:56:00Z</dcterms:created>
  <dcterms:modified xsi:type="dcterms:W3CDTF">2025-03-06T06:33:00Z</dcterms:modified>
</cp:coreProperties>
</file>