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F66D" w14:textId="771476A8" w:rsidR="000A489A" w:rsidRPr="000A489A" w:rsidRDefault="000A489A" w:rsidP="000A489A">
      <w:pPr>
        <w:jc w:val="center"/>
        <w:rPr>
          <w:rFonts w:ascii="Abadi" w:hAnsi="Abadi"/>
          <w:color w:val="4472C4" w:themeColor="accent1"/>
          <w:sz w:val="48"/>
          <w:szCs w:val="48"/>
        </w:rPr>
      </w:pPr>
      <w:r w:rsidRPr="000A489A">
        <w:rPr>
          <w:rFonts w:ascii="Abadi" w:hAnsi="Abadi"/>
          <w:color w:val="4472C4" w:themeColor="accent1"/>
          <w:sz w:val="48"/>
          <w:szCs w:val="48"/>
        </w:rPr>
        <w:t xml:space="preserve">Analisi della pandemia di CoViD-19 nel periodo </w:t>
      </w:r>
      <w:proofErr w:type="gramStart"/>
      <w:r w:rsidRPr="000A489A">
        <w:rPr>
          <w:rFonts w:ascii="Abadi" w:hAnsi="Abadi"/>
          <w:color w:val="4472C4" w:themeColor="accent1"/>
          <w:sz w:val="48"/>
          <w:szCs w:val="48"/>
        </w:rPr>
        <w:t>Febbraio</w:t>
      </w:r>
      <w:proofErr w:type="gramEnd"/>
      <w:r w:rsidRPr="000A489A">
        <w:rPr>
          <w:rFonts w:ascii="Abadi" w:hAnsi="Abadi"/>
          <w:color w:val="4472C4" w:themeColor="accent1"/>
          <w:sz w:val="48"/>
          <w:szCs w:val="48"/>
        </w:rPr>
        <w:t>-Dicembre 2020</w:t>
      </w:r>
    </w:p>
    <w:p w14:paraId="44558B33" w14:textId="7CDD2988" w:rsidR="000A489A" w:rsidRDefault="000A489A" w:rsidP="000A489A">
      <w:pPr>
        <w:jc w:val="center"/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sz w:val="36"/>
          <w:szCs w:val="36"/>
        </w:rPr>
        <w:t>Risoluzione del problema S2L5</w:t>
      </w:r>
    </w:p>
    <w:p w14:paraId="51838CA1" w14:textId="737F5B28" w:rsidR="000A489A" w:rsidRDefault="000A489A" w:rsidP="000A489A">
      <w:pPr>
        <w:jc w:val="center"/>
        <w:rPr>
          <w:rFonts w:ascii="Abadi Extra Light" w:hAnsi="Abadi Extra Light"/>
          <w:sz w:val="28"/>
          <w:szCs w:val="28"/>
        </w:rPr>
      </w:pPr>
      <w:r w:rsidRPr="000A489A">
        <w:rPr>
          <w:rFonts w:ascii="Abadi Extra Light" w:hAnsi="Abadi Extra Light"/>
          <w:sz w:val="28"/>
          <w:szCs w:val="28"/>
        </w:rPr>
        <w:t>Di Federico Zanoni</w:t>
      </w:r>
    </w:p>
    <w:p w14:paraId="5E18C9CC" w14:textId="77777777" w:rsidR="000A489A" w:rsidRDefault="000A489A" w:rsidP="000A489A">
      <w:pPr>
        <w:jc w:val="center"/>
        <w:rPr>
          <w:rFonts w:ascii="Abadi Extra Light" w:hAnsi="Abadi Extra Light"/>
          <w:sz w:val="28"/>
          <w:szCs w:val="28"/>
        </w:rPr>
      </w:pPr>
    </w:p>
    <w:p w14:paraId="125D58D0" w14:textId="77777777" w:rsidR="000A489A" w:rsidRDefault="000A489A" w:rsidP="000A489A">
      <w:pPr>
        <w:rPr>
          <w:rFonts w:ascii="Abadi Extra Light" w:hAnsi="Abadi Extra Light"/>
          <w:sz w:val="28"/>
          <w:szCs w:val="28"/>
        </w:rPr>
      </w:pPr>
    </w:p>
    <w:p w14:paraId="7AE46618" w14:textId="1DA4AABF" w:rsidR="000A489A" w:rsidRPr="000A489A" w:rsidRDefault="000A489A" w:rsidP="000A489A">
      <w:pPr>
        <w:pStyle w:val="Paragrafoelenco"/>
        <w:numPr>
          <w:ilvl w:val="0"/>
          <w:numId w:val="1"/>
        </w:numPr>
        <w:rPr>
          <w:rFonts w:ascii="Abadi Extra Light" w:hAnsi="Abadi Extra Light"/>
          <w:color w:val="4472C4" w:themeColor="accent1"/>
          <w:sz w:val="28"/>
          <w:szCs w:val="28"/>
        </w:rPr>
      </w:pPr>
      <w:r w:rsidRPr="000A489A">
        <w:rPr>
          <w:rFonts w:ascii="Abadi Extra Light" w:hAnsi="Abadi Extra Light"/>
          <w:color w:val="4472C4" w:themeColor="accent1"/>
          <w:sz w:val="28"/>
          <w:szCs w:val="28"/>
        </w:rPr>
        <w:t>Premessa</w:t>
      </w:r>
    </w:p>
    <w:p w14:paraId="4ACBE113" w14:textId="10F39C69" w:rsidR="000A489A" w:rsidRDefault="000A489A" w:rsidP="000A489A">
      <w:pPr>
        <w:jc w:val="both"/>
        <w:rPr>
          <w:rFonts w:ascii="Abadi Extra Light" w:hAnsi="Abadi Extra Light"/>
          <w:sz w:val="24"/>
          <w:szCs w:val="24"/>
        </w:rPr>
      </w:pPr>
      <w:r w:rsidRPr="000A489A">
        <w:rPr>
          <w:rFonts w:ascii="Abadi Extra Light" w:hAnsi="Abadi Extra Light"/>
          <w:sz w:val="24"/>
          <w:szCs w:val="24"/>
        </w:rPr>
        <w:t xml:space="preserve">La seguente analisi prenderà in considerazione i dati </w:t>
      </w:r>
      <w:r>
        <w:rPr>
          <w:rFonts w:ascii="Abadi Extra Light" w:hAnsi="Abadi Extra Light"/>
          <w:sz w:val="24"/>
          <w:szCs w:val="24"/>
        </w:rPr>
        <w:t>da fine febbraio 2020, periodo di inizio della pandemia di SARS-CoV-2 nel territorio nazionale, fino a dicembre. I dati sono comunicati dalle singole province e regioni</w:t>
      </w:r>
    </w:p>
    <w:p w14:paraId="114E9DA3" w14:textId="130AD9EA" w:rsidR="000A489A" w:rsidRPr="000A489A" w:rsidRDefault="000A489A" w:rsidP="000A489A">
      <w:pPr>
        <w:pStyle w:val="Paragrafoelenco"/>
        <w:numPr>
          <w:ilvl w:val="0"/>
          <w:numId w:val="1"/>
        </w:numPr>
        <w:jc w:val="both"/>
        <w:rPr>
          <w:rFonts w:ascii="Abadi Extra Light" w:hAnsi="Abadi Extra Light"/>
          <w:color w:val="4472C4" w:themeColor="accent1"/>
          <w:sz w:val="28"/>
          <w:szCs w:val="28"/>
        </w:rPr>
      </w:pPr>
      <w:r w:rsidRPr="000A489A">
        <w:rPr>
          <w:rFonts w:ascii="Abadi Extra Light" w:hAnsi="Abadi Extra Light"/>
          <w:color w:val="4472C4" w:themeColor="accent1"/>
          <w:sz w:val="28"/>
          <w:szCs w:val="28"/>
        </w:rPr>
        <w:t>Obiettivi</w:t>
      </w:r>
    </w:p>
    <w:p w14:paraId="6DA46EBA" w14:textId="2E34FF1A" w:rsidR="000A489A" w:rsidRDefault="000A489A" w:rsidP="000A489A">
      <w:pPr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L’obiettivo, soprattutto nella prima fase pandemica, è quello di determinare le tempistiche che intercorrono tra i vari eventi significativi che il patogeno genera: contagio, guariti, morti. Comprendere, per esempio, che un virus impieghi </w:t>
      </w:r>
      <w:proofErr w:type="gramStart"/>
      <w:r>
        <w:rPr>
          <w:rFonts w:ascii="Abadi Extra Light" w:hAnsi="Abadi Extra Light"/>
          <w:sz w:val="24"/>
          <w:szCs w:val="24"/>
        </w:rPr>
        <w:t>10</w:t>
      </w:r>
      <w:proofErr w:type="gramEnd"/>
      <w:r>
        <w:rPr>
          <w:rFonts w:ascii="Abadi Extra Light" w:hAnsi="Abadi Extra Light"/>
          <w:sz w:val="24"/>
          <w:szCs w:val="24"/>
        </w:rPr>
        <w:t xml:space="preserve"> giorni tra il contagio e la conclamazione dei sintomi, può aiutare ad implementare strategie ad hoc sul contenimento dello stesso.</w:t>
      </w:r>
    </w:p>
    <w:tbl>
      <w:tblPr>
        <w:tblpPr w:leftFromText="141" w:rightFromText="141" w:vertAnchor="text" w:horzAnchor="margin" w:tblpY="114"/>
        <w:tblW w:w="4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151"/>
        <w:gridCol w:w="1049"/>
        <w:gridCol w:w="1108"/>
      </w:tblGrid>
      <w:tr w:rsidR="00444081" w:rsidRPr="00444081" w14:paraId="6A52CAC7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E762F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Etichette di riga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38C323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Max di Guariti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2FC4B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Max di Morti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59645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Max di Totale</w:t>
            </w:r>
          </w:p>
        </w:tc>
      </w:tr>
      <w:tr w:rsidR="00444081" w:rsidRPr="00444081" w14:paraId="0944525B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A1BEC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feb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DE83B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40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2DB74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9B792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615</w:t>
            </w:r>
          </w:p>
        </w:tc>
      </w:tr>
      <w:tr w:rsidR="00444081" w:rsidRPr="00444081" w14:paraId="40CC62C1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81945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mar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E25FC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10885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41E0C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7199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1829C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43208</w:t>
            </w:r>
          </w:p>
        </w:tc>
      </w:tr>
      <w:tr w:rsidR="00444081" w:rsidRPr="00444081" w14:paraId="6D92159A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F555E9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apr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EDB6A5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25749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49A1A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13772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8C032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75732</w:t>
            </w:r>
          </w:p>
        </w:tc>
      </w:tr>
      <w:tr w:rsidR="00444081" w:rsidRPr="00444081" w14:paraId="22BB2D55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3B42D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mag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33E64E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51860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1734E0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16112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4367C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88968</w:t>
            </w:r>
          </w:p>
        </w:tc>
      </w:tr>
      <w:tr w:rsidR="00444081" w:rsidRPr="00444081" w14:paraId="3FB13A05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C6DA25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giu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B5CC3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67197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27BD5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16644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586CD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93901</w:t>
            </w:r>
          </w:p>
        </w:tc>
      </w:tr>
      <w:tr w:rsidR="00444081" w:rsidRPr="00444081" w14:paraId="44814AED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B999A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lug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105CE0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73402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C7AC21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16806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35503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96219</w:t>
            </w:r>
          </w:p>
        </w:tc>
      </w:tr>
      <w:tr w:rsidR="00444081" w:rsidRPr="00444081" w14:paraId="4C4B15DF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4433C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ago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4262C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76258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9237F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16865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C3C436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100075</w:t>
            </w:r>
          </w:p>
        </w:tc>
      </w:tr>
      <w:tr w:rsidR="00444081" w:rsidRPr="00444081" w14:paraId="74259BAB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92E613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set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14D7A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80712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634C9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16955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3D957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106727</w:t>
            </w:r>
          </w:p>
        </w:tc>
      </w:tr>
      <w:tr w:rsidR="00444081" w:rsidRPr="00444081" w14:paraId="546BB2F3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1F0BF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ott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0DB284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96198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657B4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17535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F87DC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195744</w:t>
            </w:r>
          </w:p>
        </w:tc>
      </w:tr>
      <w:tr w:rsidR="00444081" w:rsidRPr="00444081" w14:paraId="707EE1FC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BCFEAE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nov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320FD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260528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58A90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21855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18B6D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407791</w:t>
            </w:r>
          </w:p>
        </w:tc>
      </w:tr>
      <w:tr w:rsidR="00444081" w:rsidRPr="00444081" w14:paraId="279EA9E6" w14:textId="77777777" w:rsidTr="00444081">
        <w:trPr>
          <w:trHeight w:val="86"/>
        </w:trPr>
        <w:tc>
          <w:tcPr>
            <w:tcW w:w="15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B07775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dic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3A788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289706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9EF90D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23024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C55019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429109</w:t>
            </w:r>
          </w:p>
        </w:tc>
      </w:tr>
      <w:tr w:rsidR="00444081" w:rsidRPr="00444081" w14:paraId="78E50D45" w14:textId="77777777" w:rsidTr="00444081">
        <w:trPr>
          <w:trHeight w:val="86"/>
        </w:trPr>
        <w:tc>
          <w:tcPr>
            <w:tcW w:w="151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E895BA" w14:textId="77777777" w:rsidR="00444081" w:rsidRPr="00444081" w:rsidRDefault="00444081" w:rsidP="00444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Totale complessivo</w:t>
            </w:r>
          </w:p>
        </w:tc>
        <w:tc>
          <w:tcPr>
            <w:tcW w:w="11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C4CAC0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289706</w:t>
            </w:r>
          </w:p>
        </w:tc>
        <w:tc>
          <w:tcPr>
            <w:tcW w:w="104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A2FAD9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23024</w:t>
            </w:r>
          </w:p>
        </w:tc>
        <w:tc>
          <w:tcPr>
            <w:tcW w:w="110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7E1B2A" w14:textId="77777777" w:rsidR="00444081" w:rsidRPr="00444081" w:rsidRDefault="00444081" w:rsidP="00444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4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429109</w:t>
            </w:r>
          </w:p>
        </w:tc>
      </w:tr>
    </w:tbl>
    <w:p w14:paraId="1A6B826C" w14:textId="5042052D" w:rsidR="007D1453" w:rsidRPr="00444081" w:rsidRDefault="007D1453" w:rsidP="007D1453">
      <w:pPr>
        <w:pStyle w:val="Paragrafoelenco"/>
        <w:numPr>
          <w:ilvl w:val="0"/>
          <w:numId w:val="1"/>
        </w:numPr>
        <w:jc w:val="both"/>
        <w:rPr>
          <w:rFonts w:ascii="Abadi Extra Light" w:hAnsi="Abadi Extra Light"/>
          <w:color w:val="4472C4" w:themeColor="accent1"/>
          <w:sz w:val="28"/>
          <w:szCs w:val="28"/>
        </w:rPr>
      </w:pPr>
      <w:r w:rsidRPr="00444081">
        <w:rPr>
          <w:rFonts w:ascii="Abadi Extra Light" w:hAnsi="Abadi Extra Light"/>
          <w:color w:val="4472C4" w:themeColor="accent1"/>
          <w:sz w:val="28"/>
          <w:szCs w:val="28"/>
        </w:rPr>
        <w:t>Elaborazione</w:t>
      </w:r>
    </w:p>
    <w:p w14:paraId="4DB7F981" w14:textId="77777777" w:rsidR="00444081" w:rsidRDefault="00444081" w:rsidP="00444081">
      <w:pPr>
        <w:pStyle w:val="Paragrafoelenco"/>
        <w:jc w:val="both"/>
        <w:rPr>
          <w:rFonts w:ascii="Abadi Extra Light" w:hAnsi="Abadi Extra Light"/>
        </w:rPr>
      </w:pPr>
    </w:p>
    <w:p w14:paraId="5E900891" w14:textId="5F001A7F" w:rsidR="00444081" w:rsidRDefault="00444081" w:rsidP="00444081">
      <w:pPr>
        <w:pStyle w:val="Paragrafoelenco"/>
        <w:jc w:val="both"/>
        <w:rPr>
          <w:rFonts w:ascii="Abadi Extra Light" w:hAnsi="Abadi Extra Light"/>
          <w:sz w:val="24"/>
          <w:szCs w:val="24"/>
        </w:rPr>
      </w:pPr>
      <w:r w:rsidRPr="00444081">
        <w:rPr>
          <w:rFonts w:ascii="Abadi Extra Light" w:hAnsi="Abadi Extra Light"/>
          <w:sz w:val="24"/>
          <w:szCs w:val="24"/>
        </w:rPr>
        <w:t xml:space="preserve">Si noti innanzitutto come a essere più massiccia è stata la seconda ondata, iniziata a settembre. Un altro particolare dato è la tendenza dei guariti e dei morti tenda a risalire in ritardo di circa un mese dall’inizio dei contagi, sia nella prima fase che nella seconda. </w:t>
      </w:r>
    </w:p>
    <w:p w14:paraId="41A44D4B" w14:textId="0D5F433C" w:rsidR="00444081" w:rsidRPr="00444081" w:rsidRDefault="00444081" w:rsidP="00444081">
      <w:pPr>
        <w:pStyle w:val="Paragrafoelenco"/>
        <w:jc w:val="both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Infine si analizza l’ultimo grafico</w:t>
      </w:r>
      <w:r w:rsidR="008164AF">
        <w:rPr>
          <w:rFonts w:ascii="Abadi Extra Light" w:hAnsi="Abadi Extra Light"/>
          <w:sz w:val="24"/>
          <w:szCs w:val="24"/>
        </w:rPr>
        <w:t>, dove regione per regione si vede come la regione più colpita è comprensibilmente quella più popolosa e con maggiori movimentazioni di persone, la lombardia.</w:t>
      </w:r>
    </w:p>
    <w:p w14:paraId="5168DB7A" w14:textId="77777777" w:rsidR="00444081" w:rsidRPr="00444081" w:rsidRDefault="00444081" w:rsidP="00444081">
      <w:pPr>
        <w:jc w:val="both"/>
        <w:rPr>
          <w:rFonts w:ascii="Abadi Extra Light" w:hAnsi="Abadi Extra Light"/>
          <w:sz w:val="24"/>
          <w:szCs w:val="24"/>
        </w:rPr>
      </w:pPr>
    </w:p>
    <w:p w14:paraId="54D01225" w14:textId="77777777" w:rsidR="002C4F49" w:rsidRDefault="007D1453" w:rsidP="002C4F4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A92A286" wp14:editId="76C1B15F">
            <wp:extent cx="5637402" cy="2273860"/>
            <wp:effectExtent l="0" t="0" r="14605" b="1270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8F7E471-A4B3-188E-AB98-2C1C3EB7C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C4C28C" w14:textId="3F321D8D" w:rsidR="007D1453" w:rsidRDefault="002C4F49" w:rsidP="002C4F49">
      <w:pPr>
        <w:pStyle w:val="Didascalia"/>
        <w:jc w:val="both"/>
      </w:pPr>
      <w:r>
        <w:t xml:space="preserve">Tab </w:t>
      </w:r>
      <w:r w:rsidR="00444081">
        <w:t>2</w:t>
      </w:r>
      <w:r>
        <w:t>: Progressione dei guariti, totali e morti per i mesi</w:t>
      </w:r>
    </w:p>
    <w:p w14:paraId="7D60726E" w14:textId="474419C3" w:rsidR="002C4F49" w:rsidRPr="002C4F49" w:rsidRDefault="002C4F49" w:rsidP="002C4F49">
      <w:pPr>
        <w:jc w:val="both"/>
        <w:rPr>
          <w:rFonts w:ascii="Abadi Extra Light" w:hAnsi="Abadi Extra Light"/>
        </w:rPr>
      </w:pPr>
    </w:p>
    <w:p w14:paraId="7EECE5BF" w14:textId="0213D63E" w:rsidR="007D1453" w:rsidRPr="007D1453" w:rsidRDefault="008164AF" w:rsidP="007D1453">
      <w:pPr>
        <w:tabs>
          <w:tab w:val="left" w:pos="7768"/>
        </w:tabs>
        <w:rPr>
          <w:rFonts w:ascii="Abadi Extra Light" w:hAnsi="Abadi Extra Light"/>
          <w:sz w:val="24"/>
          <w:szCs w:val="24"/>
        </w:rPr>
      </w:pPr>
      <w:r>
        <w:rPr>
          <w:noProof/>
        </w:rPr>
        <w:drawing>
          <wp:inline distT="0" distB="0" distL="0" distR="0" wp14:anchorId="4E0EB69B" wp14:editId="2E18F254">
            <wp:extent cx="6120130" cy="3435985"/>
            <wp:effectExtent l="0" t="0" r="13970" b="18415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721840BA-1297-4793-161D-019314537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D1453" w:rsidRPr="007D14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3DE2"/>
    <w:multiLevelType w:val="hybridMultilevel"/>
    <w:tmpl w:val="19147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3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9A"/>
    <w:rsid w:val="000A489A"/>
    <w:rsid w:val="002C4F49"/>
    <w:rsid w:val="00444081"/>
    <w:rsid w:val="007D1453"/>
    <w:rsid w:val="008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7F02"/>
  <w15:chartTrackingRefBased/>
  <w15:docId w15:val="{0D8A1FB0-5577-3B4A-B1B7-6FE1EFA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489A"/>
  </w:style>
  <w:style w:type="paragraph" w:styleId="Titolo1">
    <w:name w:val="heading 1"/>
    <w:basedOn w:val="Normale"/>
    <w:next w:val="Normale"/>
    <w:link w:val="Titolo1Carattere"/>
    <w:uiPriority w:val="9"/>
    <w:qFormat/>
    <w:rsid w:val="000A489A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489A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489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489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489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489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489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489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489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9A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489A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489A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489A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489A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489A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489A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489A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489A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0A489A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489A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0A489A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489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489A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0A489A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0A489A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0A489A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489A"/>
  </w:style>
  <w:style w:type="paragraph" w:styleId="Paragrafoelenco">
    <w:name w:val="List Paragraph"/>
    <w:basedOn w:val="Normale"/>
    <w:uiPriority w:val="34"/>
    <w:qFormat/>
    <w:rsid w:val="000A489A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A489A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489A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489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489A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0A489A"/>
    <w:rPr>
      <w:i/>
      <w:iCs/>
    </w:rPr>
  </w:style>
  <w:style w:type="character" w:styleId="Enfasiintensa">
    <w:name w:val="Intense Emphasis"/>
    <w:uiPriority w:val="21"/>
    <w:qFormat/>
    <w:rsid w:val="000A489A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0A489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0A489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0A489A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48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edericozanoni/Library/Containers/com.microsoft.Excel/Data/Library/Application%20Support/Microsoft/S2L5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edericozanoni/Library/Containers/com.microsoft.Excel/Data/Library/Application%20Support/Microsoft/S2L5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[S2L5 (version 1).xlsb]Covid19!Tabella pivot1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Covid19!$N$3</c:f>
              <c:strCache>
                <c:ptCount val="1"/>
                <c:pt idx="0">
                  <c:v>Max di Guariti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Covid19!$M$4:$M$15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Covid19!$N$4:$N$15</c:f>
              <c:numCache>
                <c:formatCode>General</c:formatCode>
                <c:ptCount val="11"/>
                <c:pt idx="0">
                  <c:v>40</c:v>
                </c:pt>
                <c:pt idx="1">
                  <c:v>10885</c:v>
                </c:pt>
                <c:pt idx="2">
                  <c:v>25749</c:v>
                </c:pt>
                <c:pt idx="3">
                  <c:v>51860</c:v>
                </c:pt>
                <c:pt idx="4">
                  <c:v>67197</c:v>
                </c:pt>
                <c:pt idx="5">
                  <c:v>73402</c:v>
                </c:pt>
                <c:pt idx="6">
                  <c:v>76258</c:v>
                </c:pt>
                <c:pt idx="7">
                  <c:v>80712</c:v>
                </c:pt>
                <c:pt idx="8">
                  <c:v>96198</c:v>
                </c:pt>
                <c:pt idx="9">
                  <c:v>260528</c:v>
                </c:pt>
                <c:pt idx="10">
                  <c:v>289706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9-0F4D-BDF7-48D7ED8AA849}"/>
            </c:ext>
          </c:extLst>
        </c:ser>
        <c:ser>
          <c:idx val="1"/>
          <c:order val="1"/>
          <c:tx>
            <c:strRef>
              <c:f>Covid19!$O$3</c:f>
              <c:strCache>
                <c:ptCount val="1"/>
                <c:pt idx="0">
                  <c:v>Max di Morti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Covid19!$M$4:$M$15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Covid19!$O$4:$O$15</c:f>
              <c:numCache>
                <c:formatCode>General</c:formatCode>
                <c:ptCount val="11"/>
                <c:pt idx="0">
                  <c:v>23</c:v>
                </c:pt>
                <c:pt idx="1">
                  <c:v>7199</c:v>
                </c:pt>
                <c:pt idx="2">
                  <c:v>13772</c:v>
                </c:pt>
                <c:pt idx="3">
                  <c:v>16112</c:v>
                </c:pt>
                <c:pt idx="4">
                  <c:v>16644</c:v>
                </c:pt>
                <c:pt idx="5">
                  <c:v>16806</c:v>
                </c:pt>
                <c:pt idx="6">
                  <c:v>16865</c:v>
                </c:pt>
                <c:pt idx="7">
                  <c:v>16955</c:v>
                </c:pt>
                <c:pt idx="8">
                  <c:v>17535</c:v>
                </c:pt>
                <c:pt idx="9">
                  <c:v>21855</c:v>
                </c:pt>
                <c:pt idx="10">
                  <c:v>23024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29-0F4D-BDF7-48D7ED8AA849}"/>
            </c:ext>
          </c:extLst>
        </c:ser>
        <c:ser>
          <c:idx val="2"/>
          <c:order val="2"/>
          <c:tx>
            <c:strRef>
              <c:f>Covid19!$P$3</c:f>
              <c:strCache>
                <c:ptCount val="1"/>
                <c:pt idx="0">
                  <c:v>Max di Totale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Covid19!$M$4:$M$15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Covid19!$P$4:$P$15</c:f>
              <c:numCache>
                <c:formatCode>General</c:formatCode>
                <c:ptCount val="11"/>
                <c:pt idx="0">
                  <c:v>615</c:v>
                </c:pt>
                <c:pt idx="1">
                  <c:v>43208</c:v>
                </c:pt>
                <c:pt idx="2">
                  <c:v>75732</c:v>
                </c:pt>
                <c:pt idx="3">
                  <c:v>88968</c:v>
                </c:pt>
                <c:pt idx="4">
                  <c:v>93901</c:v>
                </c:pt>
                <c:pt idx="5">
                  <c:v>96219</c:v>
                </c:pt>
                <c:pt idx="6">
                  <c:v>100075</c:v>
                </c:pt>
                <c:pt idx="7">
                  <c:v>106727</c:v>
                </c:pt>
                <c:pt idx="8">
                  <c:v>195744</c:v>
                </c:pt>
                <c:pt idx="9">
                  <c:v>407791</c:v>
                </c:pt>
                <c:pt idx="10">
                  <c:v>429109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29-0F4D-BDF7-48D7ED8AA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2730895"/>
        <c:axId val="711323535"/>
      </c:lineChart>
      <c:catAx>
        <c:axId val="712730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11323535"/>
        <c:crosses val="autoZero"/>
        <c:auto val="1"/>
        <c:lblAlgn val="ctr"/>
        <c:lblOffset val="100"/>
        <c:noMultiLvlLbl val="0"/>
      </c:catAx>
      <c:valAx>
        <c:axId val="71132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1273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[S2L5 (version 1).xlsb]Comuni!Tabella pivot2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'Comuni'!$U$2</c:f>
              <c:strCache>
                <c:ptCount val="1"/>
                <c:pt idx="0">
                  <c:v>guariti tot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'Comuni'!$T$3:$T$23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Trentino-Alto Adige/Südtirol</c:v>
                </c:pt>
                <c:pt idx="17">
                  <c:v>Umbria</c:v>
                </c:pt>
                <c:pt idx="18">
                  <c:v>Valle d'Aosta/Vallée d'Aoste</c:v>
                </c:pt>
                <c:pt idx="19">
                  <c:v>Veneto</c:v>
                </c:pt>
              </c:strCache>
            </c:strRef>
          </c:cat>
          <c:val>
            <c:numRef>
              <c:f>'Comuni'!$U$3:$U$23</c:f>
              <c:numCache>
                <c:formatCode>General</c:formatCode>
                <c:ptCount val="20"/>
                <c:pt idx="0">
                  <c:v>12206</c:v>
                </c:pt>
                <c:pt idx="1">
                  <c:v>2397</c:v>
                </c:pt>
                <c:pt idx="2">
                  <c:v>7533</c:v>
                </c:pt>
                <c:pt idx="3">
                  <c:v>62060</c:v>
                </c:pt>
                <c:pt idx="4">
                  <c:v>59432</c:v>
                </c:pt>
                <c:pt idx="5">
                  <c:v>19401</c:v>
                </c:pt>
                <c:pt idx="6">
                  <c:v>33422</c:v>
                </c:pt>
                <c:pt idx="7">
                  <c:v>40842</c:v>
                </c:pt>
                <c:pt idx="8">
                  <c:v>289706</c:v>
                </c:pt>
                <c:pt idx="9">
                  <c:v>11008</c:v>
                </c:pt>
                <c:pt idx="10">
                  <c:v>2438</c:v>
                </c:pt>
                <c:pt idx="11">
                  <c:v>105127</c:v>
                </c:pt>
                <c:pt idx="12">
                  <c:v>16795</c:v>
                </c:pt>
                <c:pt idx="13">
                  <c:v>8695</c:v>
                </c:pt>
                <c:pt idx="14">
                  <c:v>29984</c:v>
                </c:pt>
                <c:pt idx="15">
                  <c:v>76331</c:v>
                </c:pt>
                <c:pt idx="16">
                  <c:v>13995</c:v>
                </c:pt>
                <c:pt idx="17">
                  <c:v>18619</c:v>
                </c:pt>
                <c:pt idx="18">
                  <c:v>5406</c:v>
                </c:pt>
                <c:pt idx="19">
                  <c:v>84235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8C-3B44-823A-277FFA10F2FA}"/>
            </c:ext>
          </c:extLst>
        </c:ser>
        <c:ser>
          <c:idx val="1"/>
          <c:order val="1"/>
          <c:tx>
            <c:strRef>
              <c:f>'Comuni'!$V$2</c:f>
              <c:strCache>
                <c:ptCount val="1"/>
                <c:pt idx="0">
                  <c:v>Morti tot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'Comuni'!$T$3:$T$23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Trentino-Alto Adige/Südtirol</c:v>
                </c:pt>
                <c:pt idx="17">
                  <c:v>Umbria</c:v>
                </c:pt>
                <c:pt idx="18">
                  <c:v>Valle d'Aosta/Vallée d'Aoste</c:v>
                </c:pt>
                <c:pt idx="19">
                  <c:v>Veneto</c:v>
                </c:pt>
              </c:strCache>
            </c:strRef>
          </c:cat>
          <c:val>
            <c:numRef>
              <c:f>'Comuni'!$V$3:$V$23</c:f>
              <c:numCache>
                <c:formatCode>General</c:formatCode>
                <c:ptCount val="20"/>
                <c:pt idx="0">
                  <c:v>980</c:v>
                </c:pt>
                <c:pt idx="1">
                  <c:v>175</c:v>
                </c:pt>
                <c:pt idx="2">
                  <c:v>343</c:v>
                </c:pt>
                <c:pt idx="3">
                  <c:v>1990</c:v>
                </c:pt>
                <c:pt idx="4">
                  <c:v>6162</c:v>
                </c:pt>
                <c:pt idx="5">
                  <c:v>1035</c:v>
                </c:pt>
                <c:pt idx="6">
                  <c:v>2622</c:v>
                </c:pt>
                <c:pt idx="7">
                  <c:v>2521</c:v>
                </c:pt>
                <c:pt idx="8">
                  <c:v>23024</c:v>
                </c:pt>
                <c:pt idx="9">
                  <c:v>1327</c:v>
                </c:pt>
                <c:pt idx="10">
                  <c:v>135</c:v>
                </c:pt>
                <c:pt idx="11">
                  <c:v>6623</c:v>
                </c:pt>
                <c:pt idx="12">
                  <c:v>1712</c:v>
                </c:pt>
                <c:pt idx="13">
                  <c:v>531</c:v>
                </c:pt>
                <c:pt idx="14">
                  <c:v>1759</c:v>
                </c:pt>
                <c:pt idx="15">
                  <c:v>2867</c:v>
                </c:pt>
                <c:pt idx="16">
                  <c:v>691</c:v>
                </c:pt>
                <c:pt idx="17">
                  <c:v>460</c:v>
                </c:pt>
                <c:pt idx="18">
                  <c:v>333</c:v>
                </c:pt>
                <c:pt idx="19">
                  <c:v>4210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8C-3B44-823A-277FFA10F2FA}"/>
            </c:ext>
          </c:extLst>
        </c:ser>
        <c:ser>
          <c:idx val="2"/>
          <c:order val="2"/>
          <c:tx>
            <c:strRef>
              <c:f>'Comuni'!$W$2</c:f>
              <c:strCache>
                <c:ptCount val="1"/>
                <c:pt idx="0">
                  <c:v>Totale complessivo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'Comuni'!$T$3:$T$23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Trentino-Alto Adige/Südtirol</c:v>
                </c:pt>
                <c:pt idx="17">
                  <c:v>Umbria</c:v>
                </c:pt>
                <c:pt idx="18">
                  <c:v>Valle d'Aosta/Vallée d'Aoste</c:v>
                </c:pt>
                <c:pt idx="19">
                  <c:v>Veneto</c:v>
                </c:pt>
              </c:strCache>
            </c:strRef>
          </c:cat>
          <c:val>
            <c:numRef>
              <c:f>'Comuni'!$W$3:$W$23</c:f>
              <c:numCache>
                <c:formatCode>General</c:formatCode>
                <c:ptCount val="20"/>
                <c:pt idx="0">
                  <c:v>30274</c:v>
                </c:pt>
                <c:pt idx="1">
                  <c:v>8940</c:v>
                </c:pt>
                <c:pt idx="2">
                  <c:v>18537</c:v>
                </c:pt>
                <c:pt idx="3">
                  <c:v>165293</c:v>
                </c:pt>
                <c:pt idx="4">
                  <c:v>133761</c:v>
                </c:pt>
                <c:pt idx="5">
                  <c:v>35467</c:v>
                </c:pt>
                <c:pt idx="6">
                  <c:v>130255</c:v>
                </c:pt>
                <c:pt idx="7">
                  <c:v>53779</c:v>
                </c:pt>
                <c:pt idx="8">
                  <c:v>429109</c:v>
                </c:pt>
                <c:pt idx="9">
                  <c:v>32393</c:v>
                </c:pt>
                <c:pt idx="10">
                  <c:v>5286</c:v>
                </c:pt>
                <c:pt idx="11">
                  <c:v>177788</c:v>
                </c:pt>
                <c:pt idx="12">
                  <c:v>64341</c:v>
                </c:pt>
                <c:pt idx="13">
                  <c:v>24186</c:v>
                </c:pt>
                <c:pt idx="14">
                  <c:v>71489</c:v>
                </c:pt>
                <c:pt idx="15">
                  <c:v>108397</c:v>
                </c:pt>
                <c:pt idx="16">
                  <c:v>25361</c:v>
                </c:pt>
                <c:pt idx="17">
                  <c:v>25144</c:v>
                </c:pt>
                <c:pt idx="18">
                  <c:v>6726</c:v>
                </c:pt>
                <c:pt idx="19">
                  <c:v>165249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8C-3B44-823A-277FFA10F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2289119"/>
        <c:axId val="708331359"/>
      </c:barChart>
      <c:catAx>
        <c:axId val="712289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08331359"/>
        <c:crosses val="autoZero"/>
        <c:auto val="1"/>
        <c:lblAlgn val="ctr"/>
        <c:lblOffset val="100"/>
        <c:noMultiLvlLbl val="0"/>
      </c:catAx>
      <c:valAx>
        <c:axId val="70833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12289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Zanoni</dc:creator>
  <cp:keywords/>
  <dc:description/>
  <cp:lastModifiedBy>Federico Zanoni</cp:lastModifiedBy>
  <cp:revision>1</cp:revision>
  <dcterms:created xsi:type="dcterms:W3CDTF">2023-12-18T14:05:00Z</dcterms:created>
  <dcterms:modified xsi:type="dcterms:W3CDTF">2023-12-18T16:21:00Z</dcterms:modified>
</cp:coreProperties>
</file>