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745E2" w14:textId="64311549" w:rsidR="00FA1B38" w:rsidRPr="00373F32" w:rsidRDefault="00F12A28" w:rsidP="00C35C9E">
      <w:pPr>
        <w:jc w:val="both"/>
        <w:rPr>
          <w:sz w:val="40"/>
          <w:szCs w:val="40"/>
          <w:lang w:val="fr-BE"/>
        </w:rPr>
      </w:pPr>
      <w:bookmarkStart w:id="0" w:name="_GoBack"/>
      <w:bookmarkEnd w:id="0"/>
      <w:r w:rsidRPr="00373F32">
        <w:rPr>
          <w:sz w:val="40"/>
          <w:szCs w:val="40"/>
          <w:lang w:val="fr-BE"/>
        </w:rPr>
        <w:t>Questionnaire “</w:t>
      </w:r>
      <w:r w:rsidR="00365638">
        <w:rPr>
          <w:sz w:val="40"/>
          <w:szCs w:val="40"/>
          <w:lang w:val="fr-BE"/>
        </w:rPr>
        <w:t>P</w:t>
      </w:r>
      <w:r w:rsidRPr="00373F32">
        <w:rPr>
          <w:sz w:val="40"/>
          <w:szCs w:val="40"/>
          <w:lang w:val="fr-BE"/>
        </w:rPr>
        <w:t xml:space="preserve">révention </w:t>
      </w:r>
      <w:r w:rsidR="00A03625">
        <w:rPr>
          <w:sz w:val="40"/>
          <w:szCs w:val="40"/>
          <w:lang w:val="fr-BE"/>
        </w:rPr>
        <w:t xml:space="preserve">du </w:t>
      </w:r>
      <w:r w:rsidRPr="00373F32">
        <w:rPr>
          <w:sz w:val="40"/>
          <w:szCs w:val="40"/>
          <w:lang w:val="fr-BE"/>
        </w:rPr>
        <w:t>b</w:t>
      </w:r>
      <w:r w:rsidRPr="00373F32">
        <w:rPr>
          <w:rFonts w:eastAsiaTheme="majorEastAsia" w:cstheme="majorBidi"/>
          <w:spacing w:val="-10"/>
          <w:kern w:val="28"/>
          <w:sz w:val="40"/>
          <w:szCs w:val="40"/>
          <w:lang w:val="fr-BE"/>
        </w:rPr>
        <w:t>lanchiment</w:t>
      </w:r>
      <w:r w:rsidR="00C3128B">
        <w:rPr>
          <w:sz w:val="40"/>
          <w:szCs w:val="40"/>
          <w:lang w:val="fr-BE"/>
        </w:rPr>
        <w:t xml:space="preserve"> de</w:t>
      </w:r>
      <w:r w:rsidRPr="00373F32">
        <w:rPr>
          <w:sz w:val="40"/>
          <w:szCs w:val="40"/>
          <w:lang w:val="fr-BE"/>
        </w:rPr>
        <w:t xml:space="preserve"> capitaux et </w:t>
      </w:r>
      <w:r w:rsidR="00A03625">
        <w:rPr>
          <w:sz w:val="40"/>
          <w:szCs w:val="40"/>
          <w:lang w:val="fr-BE"/>
        </w:rPr>
        <w:t xml:space="preserve">du </w:t>
      </w:r>
      <w:r w:rsidRPr="00373F32">
        <w:rPr>
          <w:sz w:val="40"/>
          <w:szCs w:val="40"/>
          <w:lang w:val="fr-BE"/>
        </w:rPr>
        <w:t>financement du terrorisme”</w:t>
      </w:r>
    </w:p>
    <w:p w14:paraId="7A80AE43" w14:textId="77777777" w:rsidR="00B60165" w:rsidRDefault="00B60165" w:rsidP="002B4F3F">
      <w:pPr>
        <w:rPr>
          <w:lang w:val="fr-BE"/>
        </w:rPr>
      </w:pPr>
    </w:p>
    <w:p w14:paraId="7C6B036E" w14:textId="64A149D4" w:rsidR="00D77D2D" w:rsidRDefault="00D77D2D" w:rsidP="00D77D2D">
      <w:pPr>
        <w:jc w:val="both"/>
        <w:rPr>
          <w:lang w:val="fr-BE"/>
        </w:rPr>
      </w:pPr>
      <w:r w:rsidRPr="00C3128B">
        <w:rPr>
          <w:lang w:val="fr-BE"/>
        </w:rPr>
        <w:t xml:space="preserve">Le respect de la </w:t>
      </w:r>
      <w:r>
        <w:rPr>
          <w:lang w:val="fr-BE"/>
        </w:rPr>
        <w:t>loi</w:t>
      </w:r>
      <w:r w:rsidRPr="00C3128B">
        <w:rPr>
          <w:lang w:val="fr-BE"/>
        </w:rPr>
        <w:t xml:space="preserve"> AML</w:t>
      </w:r>
      <w:r>
        <w:rPr>
          <w:rStyle w:val="FootnoteReference"/>
          <w:lang w:val="fr-BE"/>
        </w:rPr>
        <w:footnoteReference w:id="1"/>
      </w:r>
      <w:r w:rsidRPr="00C3128B">
        <w:rPr>
          <w:lang w:val="fr-BE"/>
        </w:rPr>
        <w:t xml:space="preserve"> est</w:t>
      </w:r>
      <w:r w:rsidR="00A67D9F">
        <w:rPr>
          <w:lang w:val="fr-BE"/>
        </w:rPr>
        <w:t>, pour autant que l’intermédiaire concerné soit soumis à cette législation,</w:t>
      </w:r>
      <w:r w:rsidRPr="00C3128B">
        <w:rPr>
          <w:lang w:val="fr-BE"/>
        </w:rPr>
        <w:t xml:space="preserve"> une condition d’inscription au registre</w:t>
      </w:r>
      <w:r>
        <w:rPr>
          <w:lang w:val="fr-BE"/>
        </w:rPr>
        <w:t xml:space="preserve"> des intermédiaires d’assurance</w:t>
      </w:r>
      <w:r w:rsidRPr="00C3128B">
        <w:rPr>
          <w:lang w:val="fr-BE"/>
        </w:rPr>
        <w:t xml:space="preserve"> et des intermédiaires d’assurance à titre accessoire (Article 266, 11° de la loi du 4 avril 2014)</w:t>
      </w:r>
      <w:r>
        <w:rPr>
          <w:lang w:val="fr-BE"/>
        </w:rPr>
        <w:t xml:space="preserve"> et au registre des intermédiaires en services bancaires et d’investissement (Article 8, 11° de la loi du 22 mars 2006).</w:t>
      </w:r>
    </w:p>
    <w:p w14:paraId="019949CD" w14:textId="247EC199" w:rsidR="000177F4" w:rsidRDefault="000177F4" w:rsidP="00B60165">
      <w:pPr>
        <w:jc w:val="both"/>
        <w:rPr>
          <w:lang w:val="fr-BE"/>
        </w:rPr>
      </w:pPr>
      <w:r>
        <w:rPr>
          <w:lang w:val="fr-BE"/>
        </w:rPr>
        <w:t>Ce questionnaire a pour objectif</w:t>
      </w:r>
      <w:r w:rsidR="00D77D2D">
        <w:rPr>
          <w:lang w:val="fr-BE"/>
        </w:rPr>
        <w:t xml:space="preserve"> d’obtenir des informations sur l’organisation de votre activité et</w:t>
      </w:r>
      <w:r>
        <w:rPr>
          <w:lang w:val="fr-BE"/>
        </w:rPr>
        <w:t xml:space="preserve"> </w:t>
      </w:r>
      <w:r w:rsidR="00D77D2D">
        <w:rPr>
          <w:lang w:val="fr-BE"/>
        </w:rPr>
        <w:t>d’identifier</w:t>
      </w:r>
      <w:r w:rsidR="00732799">
        <w:rPr>
          <w:lang w:val="fr-BE"/>
        </w:rPr>
        <w:t xml:space="preserve"> </w:t>
      </w:r>
      <w:r>
        <w:rPr>
          <w:lang w:val="fr-BE"/>
        </w:rPr>
        <w:t xml:space="preserve">les mesures </w:t>
      </w:r>
      <w:r w:rsidR="00C146AC">
        <w:rPr>
          <w:lang w:val="fr-BE"/>
        </w:rPr>
        <w:t xml:space="preserve">que </w:t>
      </w:r>
      <w:r w:rsidR="00C146AC" w:rsidRPr="00F013D2">
        <w:rPr>
          <w:lang w:val="fr-BE"/>
        </w:rPr>
        <w:t xml:space="preserve">vous </w:t>
      </w:r>
      <w:r w:rsidR="00E46B6A">
        <w:rPr>
          <w:lang w:val="fr-BE"/>
        </w:rPr>
        <w:t>déclarez</w:t>
      </w:r>
      <w:r w:rsidR="00286A36">
        <w:rPr>
          <w:lang w:val="fr-BE"/>
        </w:rPr>
        <w:t xml:space="preserve"> prendre</w:t>
      </w:r>
      <w:r>
        <w:rPr>
          <w:lang w:val="fr-BE"/>
        </w:rPr>
        <w:t xml:space="preserve"> en vue de respecter les obligations découlant de la loi AML.</w:t>
      </w:r>
      <w:r w:rsidRPr="00C3128B">
        <w:rPr>
          <w:lang w:val="fr-BE"/>
        </w:rPr>
        <w:t xml:space="preserve"> </w:t>
      </w:r>
      <w:r>
        <w:rPr>
          <w:lang w:val="fr-BE"/>
        </w:rPr>
        <w:t>Ce document doit être complété et signé par l’AMLCO et le haut dirigeant responsable</w:t>
      </w:r>
      <w:r w:rsidR="00C367A6">
        <w:rPr>
          <w:lang w:val="fr-BE"/>
        </w:rPr>
        <w:t>.</w:t>
      </w:r>
    </w:p>
    <w:p w14:paraId="568A9574" w14:textId="1CC3CCF2" w:rsidR="008B3477" w:rsidRDefault="008B3477" w:rsidP="00B60165">
      <w:pPr>
        <w:jc w:val="both"/>
        <w:rPr>
          <w:lang w:val="fr-BE"/>
        </w:rPr>
      </w:pPr>
      <w:r>
        <w:rPr>
          <w:lang w:val="fr-BE"/>
        </w:rPr>
        <w:t xml:space="preserve">Dès que </w:t>
      </w:r>
      <w:r w:rsidR="00C367A6">
        <w:rPr>
          <w:lang w:val="fr-BE"/>
        </w:rPr>
        <w:t>vous serez inscrit</w:t>
      </w:r>
      <w:r w:rsidR="00CA3F03">
        <w:rPr>
          <w:lang w:val="fr-BE"/>
        </w:rPr>
        <w:t>(e)</w:t>
      </w:r>
      <w:r>
        <w:rPr>
          <w:lang w:val="fr-BE"/>
        </w:rPr>
        <w:t xml:space="preserve">, </w:t>
      </w:r>
      <w:r w:rsidR="00CA3F03">
        <w:rPr>
          <w:lang w:val="fr-BE"/>
        </w:rPr>
        <w:t xml:space="preserve">vous </w:t>
      </w:r>
      <w:r>
        <w:rPr>
          <w:lang w:val="fr-BE"/>
        </w:rPr>
        <w:t>ser</w:t>
      </w:r>
      <w:r w:rsidR="00CA3F03">
        <w:rPr>
          <w:lang w:val="fr-BE"/>
        </w:rPr>
        <w:t>ez</w:t>
      </w:r>
      <w:r>
        <w:rPr>
          <w:lang w:val="fr-BE"/>
        </w:rPr>
        <w:t xml:space="preserve"> </w:t>
      </w:r>
      <w:r w:rsidR="00C367A6">
        <w:rPr>
          <w:lang w:val="fr-BE"/>
        </w:rPr>
        <w:t xml:space="preserve">une entité </w:t>
      </w:r>
      <w:r>
        <w:rPr>
          <w:lang w:val="fr-BE"/>
        </w:rPr>
        <w:t>assujetti</w:t>
      </w:r>
      <w:r w:rsidR="00DD2DA2">
        <w:rPr>
          <w:lang w:val="fr-BE"/>
        </w:rPr>
        <w:t>e</w:t>
      </w:r>
      <w:r>
        <w:rPr>
          <w:lang w:val="fr-BE"/>
        </w:rPr>
        <w:t xml:space="preserve"> à la loi AML. </w:t>
      </w:r>
      <w:r w:rsidR="00341E64">
        <w:rPr>
          <w:lang w:val="fr-BE"/>
        </w:rPr>
        <w:t xml:space="preserve">La FSMA pourra vérifier </w:t>
      </w:r>
      <w:r w:rsidR="004267A6">
        <w:rPr>
          <w:lang w:val="fr-BE"/>
        </w:rPr>
        <w:t>que</w:t>
      </w:r>
      <w:r w:rsidR="00341E64">
        <w:rPr>
          <w:lang w:val="fr-BE"/>
        </w:rPr>
        <w:t xml:space="preserve"> l’AMLCO a respecté</w:t>
      </w:r>
      <w:r w:rsidR="004267A6">
        <w:rPr>
          <w:lang w:val="fr-BE"/>
        </w:rPr>
        <w:t xml:space="preserve"> les engagements </w:t>
      </w:r>
      <w:r w:rsidR="004810AF">
        <w:rPr>
          <w:lang w:val="fr-BE"/>
        </w:rPr>
        <w:t>souscrits dans le présent questionnaire</w:t>
      </w:r>
      <w:r w:rsidR="004267A6">
        <w:rPr>
          <w:lang w:val="fr-BE"/>
        </w:rPr>
        <w:t xml:space="preserve">, et pris les mesures nécessaires </w:t>
      </w:r>
      <w:r w:rsidR="005D5B70">
        <w:rPr>
          <w:lang w:val="fr-BE"/>
        </w:rPr>
        <w:t>afin</w:t>
      </w:r>
      <w:r w:rsidR="00C367A6">
        <w:rPr>
          <w:lang w:val="fr-BE"/>
        </w:rPr>
        <w:t xml:space="preserve"> </w:t>
      </w:r>
      <w:r w:rsidR="004267A6">
        <w:rPr>
          <w:lang w:val="fr-BE"/>
        </w:rPr>
        <w:t xml:space="preserve">que </w:t>
      </w:r>
      <w:r w:rsidR="00C367A6">
        <w:rPr>
          <w:lang w:val="fr-BE"/>
        </w:rPr>
        <w:t>l’entité assujettie respecte ses</w:t>
      </w:r>
      <w:r w:rsidR="004267A6">
        <w:rPr>
          <w:lang w:val="fr-BE"/>
        </w:rPr>
        <w:t xml:space="preserve"> obligations légales. En cas de non-respect des obligations découlant de la loi AML, la FSMA </w:t>
      </w:r>
      <w:r w:rsidR="001E40C9">
        <w:rPr>
          <w:lang w:val="fr-BE"/>
        </w:rPr>
        <w:t>peut prendre</w:t>
      </w:r>
      <w:r w:rsidR="004267A6">
        <w:rPr>
          <w:lang w:val="fr-BE"/>
        </w:rPr>
        <w:t xml:space="preserve"> des mesures administratives contre l’intermédiaire.</w:t>
      </w:r>
    </w:p>
    <w:p w14:paraId="07875E73" w14:textId="22F3B64B" w:rsidR="00B60165" w:rsidRPr="00B60165" w:rsidRDefault="00B60165" w:rsidP="00B60165">
      <w:pPr>
        <w:pBdr>
          <w:top w:val="single" w:sz="4" w:space="1" w:color="auto"/>
          <w:left w:val="single" w:sz="4" w:space="4" w:color="auto"/>
          <w:bottom w:val="single" w:sz="4" w:space="1" w:color="auto"/>
          <w:right w:val="single" w:sz="4" w:space="4" w:color="auto"/>
        </w:pBdr>
        <w:jc w:val="both"/>
        <w:rPr>
          <w:lang w:val="fr-BE"/>
        </w:rPr>
      </w:pPr>
      <w:r w:rsidRPr="00B60165">
        <w:rPr>
          <w:rFonts w:cs="Calibri"/>
          <w:b/>
          <w:lang w:val="fr-BE"/>
        </w:rPr>
        <w:t xml:space="preserve">Il est conseillé de </w:t>
      </w:r>
      <w:r w:rsidR="006352ED">
        <w:rPr>
          <w:rFonts w:cs="Calibri"/>
          <w:b/>
          <w:lang w:val="fr-BE"/>
        </w:rPr>
        <w:t xml:space="preserve">remplir </w:t>
      </w:r>
      <w:r w:rsidR="008C1718">
        <w:rPr>
          <w:rFonts w:cs="Calibri"/>
          <w:b/>
          <w:lang w:val="fr-BE"/>
        </w:rPr>
        <w:t>le document sur</w:t>
      </w:r>
      <w:r w:rsidR="006352ED">
        <w:rPr>
          <w:rFonts w:cs="Calibri"/>
          <w:b/>
          <w:lang w:val="fr-BE"/>
        </w:rPr>
        <w:t xml:space="preserve"> </w:t>
      </w:r>
      <w:r w:rsidR="008C1718">
        <w:rPr>
          <w:rFonts w:cs="Calibri"/>
          <w:b/>
          <w:lang w:val="fr-BE"/>
        </w:rPr>
        <w:t xml:space="preserve">ordinateur, et ensuite de l’imprimer, le signer et le télécharger </w:t>
      </w:r>
      <w:r w:rsidR="006352ED">
        <w:rPr>
          <w:rFonts w:cs="Calibri"/>
          <w:b/>
          <w:lang w:val="fr-BE"/>
        </w:rPr>
        <w:t xml:space="preserve">en PDF </w:t>
      </w:r>
      <w:r w:rsidR="008C1718">
        <w:rPr>
          <w:rFonts w:cs="Calibri"/>
          <w:b/>
          <w:lang w:val="fr-BE"/>
        </w:rPr>
        <w:t>dans l’application.</w:t>
      </w:r>
    </w:p>
    <w:p w14:paraId="629F088D" w14:textId="02AD58CC" w:rsidR="00C3128B" w:rsidRPr="00C3128B" w:rsidRDefault="00B60165" w:rsidP="00457E45">
      <w:pPr>
        <w:jc w:val="both"/>
        <w:rPr>
          <w:lang w:val="fr-BE"/>
        </w:rPr>
      </w:pPr>
      <w:r>
        <w:rPr>
          <w:lang w:val="fr-BE"/>
        </w:rPr>
        <w:t xml:space="preserve">Avant de compléter ce questionnaire, nous vous conseillons de </w:t>
      </w:r>
      <w:r w:rsidR="00A06080">
        <w:rPr>
          <w:lang w:val="fr-BE"/>
        </w:rPr>
        <w:t xml:space="preserve">consulter </w:t>
      </w:r>
      <w:hyperlink r:id="rId8" w:history="1">
        <w:r w:rsidR="00A06080" w:rsidRPr="00A06080">
          <w:rPr>
            <w:rStyle w:val="Hyperlink"/>
            <w:lang w:val="fr-BE"/>
          </w:rPr>
          <w:t xml:space="preserve">la section du site internet de la FSMA </w:t>
        </w:r>
        <w:r w:rsidRPr="00A06080">
          <w:rPr>
            <w:rStyle w:val="Hyperlink"/>
            <w:lang w:val="fr-BE"/>
          </w:rPr>
          <w:t>dédiée à la lutte contre le blanchiment de capitaux et le financement du terrorisme</w:t>
        </w:r>
      </w:hyperlink>
      <w:r w:rsidR="00204FC2">
        <w:rPr>
          <w:lang w:val="fr-BE"/>
        </w:rPr>
        <w:t xml:space="preserve"> (« LBC/FT »)</w:t>
      </w:r>
      <w:r>
        <w:rPr>
          <w:lang w:val="fr-BE"/>
        </w:rPr>
        <w:t>.</w:t>
      </w:r>
    </w:p>
    <w:p w14:paraId="0A17F187" w14:textId="40534026" w:rsidR="00B37FB8" w:rsidRPr="00C3128B" w:rsidRDefault="008C1718" w:rsidP="00772281">
      <w:pPr>
        <w:pStyle w:val="Heading2"/>
        <w:numPr>
          <w:ilvl w:val="0"/>
          <w:numId w:val="4"/>
        </w:numPr>
        <w:rPr>
          <w:rFonts w:asciiTheme="minorHAnsi" w:hAnsiTheme="minorHAnsi" w:cstheme="minorHAnsi"/>
          <w:b/>
          <w:color w:val="auto"/>
          <w:sz w:val="28"/>
          <w:lang w:val="fr-BE"/>
        </w:rPr>
      </w:pPr>
      <w:r>
        <w:rPr>
          <w:rFonts w:asciiTheme="minorHAnsi" w:hAnsiTheme="minorHAnsi" w:cstheme="minorHAnsi"/>
          <w:b/>
          <w:color w:val="auto"/>
          <w:sz w:val="28"/>
          <w:lang w:val="fr-BE"/>
        </w:rPr>
        <w:t xml:space="preserve">Désignations aux fonctions réglementées </w:t>
      </w:r>
    </w:p>
    <w:p w14:paraId="094C2FB0" w14:textId="77777777" w:rsidR="00CF2E4D" w:rsidRDefault="00CF2E4D" w:rsidP="00CF2E4D">
      <w:pPr>
        <w:pStyle w:val="ListParagraph"/>
        <w:keepNext/>
        <w:keepLines/>
        <w:spacing w:before="40" w:after="240"/>
        <w:ind w:left="735"/>
        <w:jc w:val="both"/>
        <w:outlineLvl w:val="1"/>
        <w:rPr>
          <w:lang w:val="fr-BE"/>
        </w:rPr>
      </w:pPr>
    </w:p>
    <w:p w14:paraId="3A315BC3" w14:textId="18B872BF" w:rsidR="003D7DFA" w:rsidRPr="00772281" w:rsidRDefault="00CF2E4D" w:rsidP="0073393F">
      <w:pPr>
        <w:pStyle w:val="ListParagraph"/>
        <w:keepNext/>
        <w:keepLines/>
        <w:spacing w:before="40" w:after="240"/>
        <w:ind w:left="0"/>
        <w:jc w:val="both"/>
        <w:outlineLvl w:val="1"/>
        <w:rPr>
          <w:rFonts w:eastAsiaTheme="majorEastAsia" w:cstheme="minorHAnsi"/>
          <w:lang w:val="fr-FR"/>
        </w:rPr>
      </w:pPr>
      <w:r>
        <w:rPr>
          <w:rFonts w:eastAsiaTheme="majorEastAsia" w:cstheme="minorHAnsi"/>
          <w:lang w:val="fr-FR"/>
        </w:rPr>
        <w:t>L</w:t>
      </w:r>
      <w:r w:rsidR="00772281" w:rsidRPr="00772281">
        <w:rPr>
          <w:rFonts w:eastAsiaTheme="majorEastAsia" w:cstheme="minorHAnsi"/>
          <w:lang w:val="fr-FR"/>
        </w:rPr>
        <w:t>’</w:t>
      </w:r>
      <w:r w:rsidR="00772281" w:rsidRPr="00772281">
        <w:rPr>
          <w:rFonts w:eastAsiaTheme="majorEastAsia" w:cstheme="minorHAnsi"/>
          <w:b/>
          <w:lang w:val="fr-FR"/>
        </w:rPr>
        <w:t>AMLCO</w:t>
      </w:r>
      <w:r w:rsidR="00772281">
        <w:rPr>
          <w:rStyle w:val="FootnoteReference"/>
          <w:rFonts w:eastAsiaTheme="majorEastAsia" w:cstheme="minorHAnsi"/>
          <w:b/>
          <w:lang w:val="fr-FR"/>
        </w:rPr>
        <w:footnoteReference w:id="2"/>
      </w:r>
      <w:r>
        <w:rPr>
          <w:rFonts w:eastAsiaTheme="majorEastAsia" w:cstheme="minorHAnsi"/>
          <w:lang w:val="fr-FR"/>
        </w:rPr>
        <w:t xml:space="preserve"> et le </w:t>
      </w:r>
      <w:r w:rsidR="00772281" w:rsidRPr="00CF2E4D">
        <w:rPr>
          <w:rFonts w:eastAsiaTheme="majorEastAsia" w:cstheme="minorHAnsi"/>
          <w:b/>
          <w:lang w:val="fr-FR"/>
        </w:rPr>
        <w:t>haut dirigeant responsable</w:t>
      </w:r>
      <w:r w:rsidR="00EB4139">
        <w:rPr>
          <w:rStyle w:val="FootnoteReference"/>
          <w:rFonts w:eastAsiaTheme="majorEastAsia" w:cstheme="minorHAnsi"/>
          <w:b/>
          <w:lang w:val="fr-FR"/>
        </w:rPr>
        <w:footnoteReference w:id="3"/>
      </w:r>
      <w:r w:rsidR="00772281" w:rsidRPr="00CF2E4D">
        <w:rPr>
          <w:rFonts w:eastAsiaTheme="majorEastAsia" w:cstheme="minorHAnsi"/>
          <w:lang w:val="fr-FR"/>
        </w:rPr>
        <w:t> </w:t>
      </w:r>
      <w:r w:rsidR="0073393F">
        <w:rPr>
          <w:rFonts w:eastAsiaTheme="majorEastAsia" w:cstheme="minorHAnsi"/>
          <w:lang w:val="fr-FR"/>
        </w:rPr>
        <w:t xml:space="preserve">(« HDR ») </w:t>
      </w:r>
      <w:r>
        <w:rPr>
          <w:rFonts w:eastAsiaTheme="majorEastAsia" w:cstheme="minorHAnsi"/>
          <w:lang w:val="fr-FR"/>
        </w:rPr>
        <w:t xml:space="preserve">ont été </w:t>
      </w:r>
      <w:r w:rsidR="006B0DBC">
        <w:rPr>
          <w:rFonts w:eastAsiaTheme="majorEastAsia" w:cstheme="minorHAnsi"/>
          <w:lang w:val="fr-FR"/>
        </w:rPr>
        <w:t xml:space="preserve">encodés </w:t>
      </w:r>
      <w:r w:rsidR="002A59F9">
        <w:rPr>
          <w:rFonts w:eastAsiaTheme="majorEastAsia" w:cstheme="minorHAnsi"/>
          <w:lang w:val="fr-FR"/>
        </w:rPr>
        <w:t>par l’</w:t>
      </w:r>
      <w:r w:rsidR="0025793B">
        <w:rPr>
          <w:rFonts w:eastAsiaTheme="majorEastAsia" w:cstheme="minorHAnsi"/>
          <w:lang w:val="fr-FR"/>
        </w:rPr>
        <w:t>intermédiaire dans</w:t>
      </w:r>
      <w:r w:rsidR="002A59F9">
        <w:rPr>
          <w:rFonts w:eastAsiaTheme="majorEastAsia" w:cstheme="minorHAnsi"/>
          <w:lang w:val="fr-FR"/>
        </w:rPr>
        <w:t xml:space="preserve"> son</w:t>
      </w:r>
      <w:r>
        <w:rPr>
          <w:rFonts w:eastAsiaTheme="majorEastAsia" w:cstheme="minorHAnsi"/>
          <w:lang w:val="fr-FR"/>
        </w:rPr>
        <w:t xml:space="preserve"> dossier d’inscription</w:t>
      </w:r>
      <w:r w:rsidR="0025793B">
        <w:rPr>
          <w:rStyle w:val="FootnoteReference"/>
          <w:rFonts w:eastAsiaTheme="majorEastAsia" w:cstheme="minorHAnsi"/>
          <w:lang w:val="fr-FR"/>
        </w:rPr>
        <w:footnoteReference w:id="4"/>
      </w:r>
      <w:r w:rsidR="006B0DBC">
        <w:rPr>
          <w:rFonts w:eastAsiaTheme="majorEastAsia" w:cstheme="minorHAnsi"/>
          <w:lang w:val="fr-FR"/>
        </w:rPr>
        <w:t xml:space="preserve"> sous l’onglet « Antiblanchiment »</w:t>
      </w:r>
      <w:r>
        <w:rPr>
          <w:rFonts w:eastAsiaTheme="majorEastAsia" w:cstheme="minorHAnsi"/>
          <w:lang w:val="fr-FR"/>
        </w:rPr>
        <w:t>.</w:t>
      </w:r>
      <w:r w:rsidR="00BB019C">
        <w:rPr>
          <w:rFonts w:eastAsiaTheme="majorEastAsia" w:cstheme="minorHAnsi"/>
          <w:lang w:val="fr-FR"/>
        </w:rPr>
        <w:t xml:space="preserve"> </w:t>
      </w:r>
    </w:p>
    <w:p w14:paraId="129A129F" w14:textId="77777777" w:rsidR="008C1718" w:rsidRPr="00C3128B" w:rsidRDefault="008C1718" w:rsidP="008C1718">
      <w:pPr>
        <w:pStyle w:val="Heading2"/>
        <w:numPr>
          <w:ilvl w:val="0"/>
          <w:numId w:val="4"/>
        </w:numPr>
        <w:rPr>
          <w:rFonts w:asciiTheme="minorHAnsi" w:hAnsiTheme="minorHAnsi" w:cstheme="minorHAnsi"/>
          <w:b/>
          <w:color w:val="auto"/>
          <w:sz w:val="28"/>
          <w:lang w:val="fr-BE"/>
        </w:rPr>
      </w:pPr>
      <w:r>
        <w:rPr>
          <w:rFonts w:asciiTheme="minorHAnsi" w:hAnsiTheme="minorHAnsi" w:cstheme="minorHAnsi"/>
          <w:b/>
          <w:color w:val="auto"/>
          <w:sz w:val="28"/>
          <w:lang w:val="fr-BE"/>
        </w:rPr>
        <w:t>Caractéristiques de l’organisation et de l’activité</w:t>
      </w:r>
    </w:p>
    <w:p w14:paraId="3BC91BE1" w14:textId="77777777" w:rsidR="00772281" w:rsidRDefault="00772281" w:rsidP="00772281">
      <w:pPr>
        <w:pStyle w:val="ListParagraph"/>
        <w:ind w:left="1095"/>
        <w:jc w:val="both"/>
        <w:rPr>
          <w:rFonts w:cstheme="minorHAnsi"/>
          <w:lang w:val="fr-FR"/>
        </w:rPr>
      </w:pPr>
    </w:p>
    <w:p w14:paraId="0EFB198A" w14:textId="3F7D4591" w:rsidR="00BB019C" w:rsidRPr="00070FCB" w:rsidRDefault="00BB019C" w:rsidP="00DD2DA2">
      <w:pPr>
        <w:pStyle w:val="ListParagraph"/>
        <w:numPr>
          <w:ilvl w:val="1"/>
          <w:numId w:val="4"/>
        </w:numPr>
        <w:jc w:val="both"/>
        <w:rPr>
          <w:rFonts w:cstheme="minorHAnsi"/>
          <w:lang w:val="fr-BE"/>
        </w:rPr>
      </w:pPr>
      <w:r w:rsidRPr="00070FCB">
        <w:rPr>
          <w:rFonts w:cstheme="minorHAnsi"/>
          <w:lang w:val="fr-BE"/>
        </w:rPr>
        <w:t xml:space="preserve">Veuillez cocher </w:t>
      </w:r>
      <w:r w:rsidR="00BD0F4F">
        <w:rPr>
          <w:rFonts w:cstheme="minorHAnsi"/>
          <w:lang w:val="fr-BE"/>
        </w:rPr>
        <w:t>la case ci-dessous</w:t>
      </w:r>
      <w:r w:rsidRPr="00070FCB">
        <w:rPr>
          <w:rFonts w:cstheme="minorHAnsi"/>
          <w:lang w:val="fr-BE"/>
        </w:rPr>
        <w:t xml:space="preserve"> si </w:t>
      </w:r>
      <w:r w:rsidR="00680FC2">
        <w:rPr>
          <w:rFonts w:cstheme="minorHAnsi"/>
          <w:lang w:val="fr-BE"/>
        </w:rPr>
        <w:t>l’intermédiaire a</w:t>
      </w:r>
      <w:r w:rsidRPr="00070FCB">
        <w:rPr>
          <w:rFonts w:cstheme="minorHAnsi"/>
          <w:lang w:val="fr-BE"/>
        </w:rPr>
        <w:t xml:space="preserve"> déclaré </w:t>
      </w:r>
      <w:r w:rsidR="002A59F9" w:rsidRPr="00070FCB">
        <w:rPr>
          <w:rFonts w:cstheme="minorHAnsi"/>
          <w:lang w:val="fr-BE"/>
        </w:rPr>
        <w:t xml:space="preserve">au moins une </w:t>
      </w:r>
      <w:r w:rsidR="00DD2DA2" w:rsidRPr="00DD2DA2">
        <w:rPr>
          <w:rFonts w:cstheme="minorHAnsi"/>
          <w:b/>
          <w:lang w:val="fr-BE"/>
        </w:rPr>
        <w:t>personne en contact avec le public</w:t>
      </w:r>
      <w:r w:rsidR="00DD2DA2">
        <w:rPr>
          <w:rFonts w:cstheme="minorHAnsi"/>
          <w:lang w:val="fr-BE"/>
        </w:rPr>
        <w:t xml:space="preserve"> (</w:t>
      </w:r>
      <w:r w:rsidR="000F050E">
        <w:rPr>
          <w:rFonts w:cstheme="minorHAnsi"/>
          <w:lang w:val="fr-BE"/>
        </w:rPr>
        <w:t>« </w:t>
      </w:r>
      <w:r w:rsidR="00DD2DA2">
        <w:rPr>
          <w:rFonts w:cstheme="minorHAnsi"/>
          <w:lang w:val="fr-BE"/>
        </w:rPr>
        <w:t>PCP</w:t>
      </w:r>
      <w:r w:rsidR="000F050E">
        <w:rPr>
          <w:rFonts w:cstheme="minorHAnsi"/>
          <w:lang w:val="fr-BE"/>
        </w:rPr>
        <w:t> »</w:t>
      </w:r>
      <w:r w:rsidR="00DD2DA2">
        <w:rPr>
          <w:rFonts w:cstheme="minorHAnsi"/>
          <w:lang w:val="fr-BE"/>
        </w:rPr>
        <w:t xml:space="preserve">) </w:t>
      </w:r>
      <w:r w:rsidR="001B387E">
        <w:rPr>
          <w:rFonts w:cstheme="minorHAnsi"/>
          <w:lang w:val="fr-BE"/>
        </w:rPr>
        <w:t xml:space="preserve">dans son dossier </w:t>
      </w:r>
      <w:r w:rsidR="006D5B98">
        <w:rPr>
          <w:rFonts w:cstheme="minorHAnsi"/>
          <w:lang w:val="fr-BE"/>
        </w:rPr>
        <w:t>et/</w:t>
      </w:r>
      <w:r w:rsidR="001F6F96">
        <w:rPr>
          <w:rFonts w:cstheme="minorHAnsi"/>
          <w:lang w:val="fr-BE"/>
        </w:rPr>
        <w:t xml:space="preserve">ou </w:t>
      </w:r>
      <w:r w:rsidR="001B387E">
        <w:rPr>
          <w:rFonts w:cstheme="minorHAnsi"/>
          <w:lang w:val="fr-BE"/>
        </w:rPr>
        <w:t xml:space="preserve">s’il fait appel à </w:t>
      </w:r>
      <w:r w:rsidR="001F6F96" w:rsidRPr="001B387E">
        <w:rPr>
          <w:rFonts w:cstheme="minorHAnsi"/>
          <w:b/>
          <w:lang w:val="fr-BE"/>
        </w:rPr>
        <w:t xml:space="preserve">un sous-agent </w:t>
      </w:r>
      <w:r w:rsidR="001B387E" w:rsidRPr="001B387E">
        <w:rPr>
          <w:rFonts w:cstheme="minorHAnsi"/>
          <w:b/>
          <w:lang w:val="fr-BE"/>
        </w:rPr>
        <w:t xml:space="preserve">ou un </w:t>
      </w:r>
      <w:r w:rsidR="001B387E">
        <w:rPr>
          <w:rFonts w:cstheme="minorHAnsi"/>
          <w:b/>
          <w:lang w:val="fr-BE"/>
        </w:rPr>
        <w:t>intermédiaire d’assurance</w:t>
      </w:r>
      <w:r w:rsidR="001B387E" w:rsidRPr="001B387E">
        <w:rPr>
          <w:rFonts w:cstheme="minorHAnsi"/>
          <w:b/>
          <w:lang w:val="fr-BE"/>
        </w:rPr>
        <w:t xml:space="preserve"> à titre accessoire</w:t>
      </w:r>
      <w:r w:rsidR="001B387E">
        <w:rPr>
          <w:rFonts w:cstheme="minorHAnsi"/>
          <w:lang w:val="fr-BE"/>
        </w:rPr>
        <w:t>.</w:t>
      </w:r>
    </w:p>
    <w:p w14:paraId="0D755254" w14:textId="73FA7DDB" w:rsidR="000F050E" w:rsidRDefault="00A4562F" w:rsidP="00A4562F">
      <w:pPr>
        <w:spacing w:after="120"/>
        <w:jc w:val="both"/>
        <w:rPr>
          <w:rFonts w:cstheme="minorHAnsi"/>
          <w:lang w:val="fr-BE"/>
        </w:rPr>
      </w:pPr>
      <w:r w:rsidRPr="00772281">
        <w:rPr>
          <w:rFonts w:cstheme="minorHAnsi"/>
          <w:lang w:val="fr-BE"/>
        </w:rPr>
        <w:tab/>
      </w:r>
      <w:sdt>
        <w:sdtPr>
          <w:rPr>
            <w:rFonts w:cstheme="minorHAnsi"/>
            <w:lang w:val="fr-FR"/>
          </w:rPr>
          <w:id w:val="1168437123"/>
          <w14:checkbox>
            <w14:checked w14:val="0"/>
            <w14:checkedState w14:val="2612" w14:font="MS Gothic"/>
            <w14:uncheckedState w14:val="2610" w14:font="MS Gothic"/>
          </w14:checkbox>
        </w:sdtPr>
        <w:sdtEndPr/>
        <w:sdtContent>
          <w:r w:rsidRPr="00772281">
            <w:rPr>
              <w:rFonts w:ascii="Segoe UI Symbol" w:eastAsia="MS Gothic" w:hAnsi="Segoe UI Symbol" w:cs="Segoe UI Symbol"/>
              <w:lang w:val="fr-FR"/>
            </w:rPr>
            <w:t>☐</w:t>
          </w:r>
        </w:sdtContent>
      </w:sdt>
      <w:r w:rsidR="009C5D8B" w:rsidRPr="00772281">
        <w:rPr>
          <w:rFonts w:cstheme="minorHAnsi"/>
          <w:lang w:val="fr-BE"/>
        </w:rPr>
        <w:t xml:space="preserve"> </w:t>
      </w:r>
      <w:r w:rsidR="00772281">
        <w:rPr>
          <w:rFonts w:cstheme="minorHAnsi"/>
          <w:lang w:val="fr-BE"/>
        </w:rPr>
        <w:t>Nous déclarons</w:t>
      </w:r>
      <w:r w:rsidR="009C5D8B" w:rsidRPr="00772281">
        <w:rPr>
          <w:rFonts w:cstheme="minorHAnsi"/>
          <w:lang w:val="fr-BE"/>
        </w:rPr>
        <w:t xml:space="preserve"> </w:t>
      </w:r>
      <w:r w:rsidR="00F14A83">
        <w:rPr>
          <w:rFonts w:cstheme="minorHAnsi"/>
          <w:lang w:val="fr-BE"/>
        </w:rPr>
        <w:t xml:space="preserve">prendre </w:t>
      </w:r>
      <w:r w:rsidR="001D75C5">
        <w:rPr>
          <w:rFonts w:cstheme="minorHAnsi"/>
          <w:lang w:val="fr-BE"/>
        </w:rPr>
        <w:t xml:space="preserve">toutes </w:t>
      </w:r>
      <w:r w:rsidR="00F14A83">
        <w:rPr>
          <w:rFonts w:cstheme="minorHAnsi"/>
          <w:lang w:val="fr-BE"/>
        </w:rPr>
        <w:t>les mesures</w:t>
      </w:r>
      <w:r w:rsidR="001D75C5">
        <w:rPr>
          <w:rFonts w:cstheme="minorHAnsi"/>
          <w:lang w:val="fr-BE"/>
        </w:rPr>
        <w:t xml:space="preserve"> nécessaires</w:t>
      </w:r>
      <w:r w:rsidR="00F14A83">
        <w:rPr>
          <w:rFonts w:cstheme="minorHAnsi"/>
          <w:lang w:val="fr-BE"/>
        </w:rPr>
        <w:t xml:space="preserve"> afin </w:t>
      </w:r>
      <w:r w:rsidR="001D75C5">
        <w:rPr>
          <w:rFonts w:cstheme="minorHAnsi"/>
          <w:lang w:val="fr-BE"/>
        </w:rPr>
        <w:t xml:space="preserve">de sensibiliser ces personnes aux </w:t>
      </w:r>
      <w:r w:rsidR="00457E45">
        <w:rPr>
          <w:rFonts w:cstheme="minorHAnsi"/>
          <w:lang w:val="fr-BE"/>
        </w:rPr>
        <w:tab/>
      </w:r>
      <w:r w:rsidR="001D75C5">
        <w:rPr>
          <w:rFonts w:cstheme="minorHAnsi"/>
          <w:lang w:val="fr-BE"/>
        </w:rPr>
        <w:t>risques de blanchiment de capitau</w:t>
      </w:r>
      <w:r w:rsidR="00286A36">
        <w:rPr>
          <w:rFonts w:cstheme="minorHAnsi"/>
          <w:lang w:val="fr-BE"/>
        </w:rPr>
        <w:t>x et de financement du terrorism</w:t>
      </w:r>
      <w:r w:rsidR="001D75C5">
        <w:rPr>
          <w:rFonts w:cstheme="minorHAnsi"/>
          <w:lang w:val="fr-BE"/>
        </w:rPr>
        <w:t>e (BC/FT) au</w:t>
      </w:r>
      <w:r w:rsidR="00870161">
        <w:rPr>
          <w:rFonts w:cstheme="minorHAnsi"/>
          <w:lang w:val="fr-BE"/>
        </w:rPr>
        <w:t>x</w:t>
      </w:r>
      <w:r w:rsidR="001D75C5">
        <w:rPr>
          <w:rFonts w:cstheme="minorHAnsi"/>
          <w:lang w:val="fr-BE"/>
        </w:rPr>
        <w:t>quel</w:t>
      </w:r>
      <w:r w:rsidR="00870161">
        <w:rPr>
          <w:rFonts w:cstheme="minorHAnsi"/>
          <w:lang w:val="fr-BE"/>
        </w:rPr>
        <w:t>s</w:t>
      </w:r>
      <w:r w:rsidR="001D75C5">
        <w:rPr>
          <w:rFonts w:cstheme="minorHAnsi"/>
          <w:lang w:val="fr-BE"/>
        </w:rPr>
        <w:t xml:space="preserve"> </w:t>
      </w:r>
      <w:r w:rsidR="00457E45">
        <w:rPr>
          <w:rFonts w:cstheme="minorHAnsi"/>
          <w:lang w:val="fr-BE"/>
        </w:rPr>
        <w:tab/>
      </w:r>
      <w:r w:rsidR="001D75C5">
        <w:rPr>
          <w:rFonts w:cstheme="minorHAnsi"/>
          <w:lang w:val="fr-BE"/>
        </w:rPr>
        <w:t xml:space="preserve">l’intermédiaire est exposé et de les former </w:t>
      </w:r>
      <w:r w:rsidR="008B50FA">
        <w:rPr>
          <w:rFonts w:cstheme="minorHAnsi"/>
          <w:lang w:val="fr-BE"/>
        </w:rPr>
        <w:t xml:space="preserve">sur </w:t>
      </w:r>
      <w:r w:rsidR="008B50FA" w:rsidRPr="008B50FA">
        <w:rPr>
          <w:rFonts w:cstheme="minorHAnsi"/>
          <w:lang w:val="fr-BE"/>
        </w:rPr>
        <w:t xml:space="preserve">le cadre juridique général </w:t>
      </w:r>
      <w:r w:rsidR="00327404">
        <w:rPr>
          <w:rFonts w:cstheme="minorHAnsi"/>
          <w:lang w:val="fr-BE"/>
        </w:rPr>
        <w:t xml:space="preserve">applicable en matière de </w:t>
      </w:r>
      <w:r w:rsidR="00457E45">
        <w:rPr>
          <w:rFonts w:cstheme="minorHAnsi"/>
          <w:lang w:val="fr-BE"/>
        </w:rPr>
        <w:lastRenderedPageBreak/>
        <w:tab/>
      </w:r>
      <w:r w:rsidR="00327404">
        <w:rPr>
          <w:rFonts w:cstheme="minorHAnsi"/>
          <w:lang w:val="fr-BE"/>
        </w:rPr>
        <w:t>LBC/FT</w:t>
      </w:r>
      <w:r w:rsidR="008B50FA">
        <w:rPr>
          <w:rFonts w:cstheme="minorHAnsi"/>
          <w:lang w:val="fr-BE"/>
        </w:rPr>
        <w:t xml:space="preserve"> et sur les </w:t>
      </w:r>
      <w:r w:rsidR="008B50FA" w:rsidRPr="008B50FA">
        <w:rPr>
          <w:rFonts w:cstheme="minorHAnsi"/>
          <w:lang w:val="fr-BE"/>
        </w:rPr>
        <w:t>politiques, procédures et mesures de contrôle interne</w:t>
      </w:r>
      <w:r w:rsidR="008B50FA">
        <w:rPr>
          <w:rFonts w:cstheme="minorHAnsi"/>
          <w:lang w:val="fr-BE"/>
        </w:rPr>
        <w:t xml:space="preserve"> </w:t>
      </w:r>
      <w:r w:rsidR="001D75C5">
        <w:rPr>
          <w:rFonts w:cstheme="minorHAnsi"/>
          <w:lang w:val="fr-BE"/>
        </w:rPr>
        <w:t xml:space="preserve">mises en œuvre </w:t>
      </w:r>
      <w:r w:rsidR="008B50FA">
        <w:rPr>
          <w:rFonts w:cstheme="minorHAnsi"/>
          <w:lang w:val="fr-BE"/>
        </w:rPr>
        <w:t xml:space="preserve">par </w:t>
      </w:r>
      <w:r w:rsidR="00457E45">
        <w:rPr>
          <w:rFonts w:cstheme="minorHAnsi"/>
          <w:lang w:val="fr-BE"/>
        </w:rPr>
        <w:tab/>
      </w:r>
      <w:r w:rsidR="008B50FA">
        <w:rPr>
          <w:rFonts w:cstheme="minorHAnsi"/>
          <w:lang w:val="fr-BE"/>
        </w:rPr>
        <w:t xml:space="preserve">l’intermédiaire </w:t>
      </w:r>
      <w:r w:rsidR="001D75C5">
        <w:rPr>
          <w:rFonts w:cstheme="minorHAnsi"/>
          <w:lang w:val="fr-BE"/>
        </w:rPr>
        <w:t>afin de réduire ces risques</w:t>
      </w:r>
      <w:r w:rsidR="0076077D">
        <w:rPr>
          <w:rFonts w:cstheme="minorHAnsi"/>
          <w:lang w:val="fr-BE"/>
        </w:rPr>
        <w:t>.</w:t>
      </w:r>
    </w:p>
    <w:p w14:paraId="6BBB2AB9" w14:textId="77777777" w:rsidR="001B387E" w:rsidRPr="001B387E" w:rsidRDefault="001B387E" w:rsidP="00A4562F">
      <w:pPr>
        <w:spacing w:after="120"/>
        <w:jc w:val="both"/>
        <w:rPr>
          <w:rFonts w:cstheme="minorHAnsi"/>
          <w:lang w:val="fr-BE"/>
        </w:rPr>
      </w:pPr>
    </w:p>
    <w:p w14:paraId="390645FC" w14:textId="2924BB8B" w:rsidR="00AF05A9" w:rsidRDefault="00C334B5" w:rsidP="003169DC">
      <w:pPr>
        <w:pStyle w:val="ListParagraph"/>
        <w:numPr>
          <w:ilvl w:val="1"/>
          <w:numId w:val="4"/>
        </w:numPr>
        <w:jc w:val="both"/>
        <w:rPr>
          <w:rFonts w:cstheme="minorHAnsi"/>
          <w:lang w:val="fr-BE"/>
        </w:rPr>
      </w:pPr>
      <w:r w:rsidRPr="00772281">
        <w:rPr>
          <w:rFonts w:cstheme="minorHAnsi"/>
          <w:lang w:val="fr-BE"/>
        </w:rPr>
        <w:t xml:space="preserve">L’intermédiaire </w:t>
      </w:r>
      <w:r w:rsidR="00E84BC1">
        <w:rPr>
          <w:rFonts w:cstheme="minorHAnsi"/>
          <w:lang w:val="fr-BE"/>
        </w:rPr>
        <w:t>envisage</w:t>
      </w:r>
      <w:r w:rsidRPr="00772281">
        <w:rPr>
          <w:rFonts w:cstheme="minorHAnsi"/>
          <w:lang w:val="fr-BE"/>
        </w:rPr>
        <w:t>-t-il</w:t>
      </w:r>
      <w:r w:rsidR="007244D2">
        <w:rPr>
          <w:rFonts w:cstheme="minorHAnsi"/>
          <w:lang w:val="fr-BE"/>
        </w:rPr>
        <w:t xml:space="preserve"> </w:t>
      </w:r>
      <w:r w:rsidR="007244D2" w:rsidRPr="00F90E45">
        <w:rPr>
          <w:rFonts w:cstheme="minorHAnsi"/>
          <w:lang w:val="fr-BE"/>
        </w:rPr>
        <w:t>de</w:t>
      </w:r>
      <w:r w:rsidRPr="00F90E45">
        <w:rPr>
          <w:rFonts w:cstheme="minorHAnsi"/>
          <w:lang w:val="fr-BE"/>
        </w:rPr>
        <w:t xml:space="preserve"> </w:t>
      </w:r>
      <w:r w:rsidRPr="00772281">
        <w:rPr>
          <w:rFonts w:cstheme="minorHAnsi"/>
          <w:b/>
          <w:lang w:val="fr-BE"/>
        </w:rPr>
        <w:t>sous-traiter</w:t>
      </w:r>
      <w:r w:rsidRPr="00772281">
        <w:rPr>
          <w:rFonts w:cstheme="minorHAnsi"/>
          <w:lang w:val="fr-BE"/>
        </w:rPr>
        <w:t xml:space="preserve"> des tâches </w:t>
      </w:r>
      <w:r w:rsidR="007B06A6" w:rsidRPr="00772281">
        <w:rPr>
          <w:rFonts w:cstheme="minorHAnsi"/>
          <w:lang w:val="fr-BE"/>
        </w:rPr>
        <w:t>afférent</w:t>
      </w:r>
      <w:r w:rsidR="00FA0BB6" w:rsidRPr="00772281">
        <w:rPr>
          <w:rFonts w:cstheme="minorHAnsi"/>
          <w:lang w:val="fr-BE"/>
        </w:rPr>
        <w:t>e</w:t>
      </w:r>
      <w:r w:rsidR="007B06A6" w:rsidRPr="00772281">
        <w:rPr>
          <w:rFonts w:cstheme="minorHAnsi"/>
          <w:lang w:val="fr-BE"/>
        </w:rPr>
        <w:t>s aux</w:t>
      </w:r>
      <w:r w:rsidRPr="00772281">
        <w:rPr>
          <w:rFonts w:cstheme="minorHAnsi"/>
          <w:lang w:val="fr-BE"/>
        </w:rPr>
        <w:t xml:space="preserve"> obligations découlant de la </w:t>
      </w:r>
      <w:r w:rsidR="0073393F">
        <w:rPr>
          <w:rFonts w:cstheme="minorHAnsi"/>
          <w:lang w:val="fr-BE"/>
        </w:rPr>
        <w:t>loi</w:t>
      </w:r>
      <w:r w:rsidRPr="00772281">
        <w:rPr>
          <w:rFonts w:cstheme="minorHAnsi"/>
          <w:lang w:val="fr-BE"/>
        </w:rPr>
        <w:t xml:space="preserve"> </w:t>
      </w:r>
      <w:r w:rsidR="00B37FB8" w:rsidRPr="00772281">
        <w:rPr>
          <w:rFonts w:cstheme="minorHAnsi"/>
          <w:lang w:val="fr-BE"/>
        </w:rPr>
        <w:t>AML</w:t>
      </w:r>
      <w:r w:rsidR="00B60165">
        <w:rPr>
          <w:rFonts w:cstheme="minorHAnsi"/>
          <w:lang w:val="fr-BE"/>
        </w:rPr>
        <w:t xml:space="preserve"> en recourant à des </w:t>
      </w:r>
      <w:r w:rsidR="00B60165" w:rsidRPr="00073A58">
        <w:rPr>
          <w:rFonts w:cstheme="minorHAnsi"/>
          <w:b/>
          <w:lang w:val="fr-BE"/>
        </w:rPr>
        <w:t>mandataires</w:t>
      </w:r>
      <w:r w:rsidR="0076077D" w:rsidRPr="00073A58">
        <w:rPr>
          <w:rFonts w:cstheme="minorHAnsi"/>
          <w:b/>
          <w:lang w:val="fr-BE"/>
        </w:rPr>
        <w:t xml:space="preserve"> et/ou des</w:t>
      </w:r>
      <w:r w:rsidR="00B60165" w:rsidRPr="00073A58">
        <w:rPr>
          <w:rFonts w:cstheme="minorHAnsi"/>
          <w:b/>
          <w:lang w:val="fr-BE"/>
        </w:rPr>
        <w:t xml:space="preserve"> sous-traitants</w:t>
      </w:r>
      <w:r w:rsidR="00C95F9C">
        <w:rPr>
          <w:rFonts w:cstheme="minorHAnsi"/>
          <w:b/>
          <w:lang w:val="fr-BE"/>
        </w:rPr>
        <w:t> </w:t>
      </w:r>
      <w:r w:rsidR="00C95F9C" w:rsidRPr="00C95F9C">
        <w:rPr>
          <w:rFonts w:cstheme="minorHAnsi"/>
          <w:lang w:val="fr-BE"/>
        </w:rPr>
        <w:t>?</w:t>
      </w:r>
    </w:p>
    <w:p w14:paraId="75A47933" w14:textId="1C11F78B" w:rsidR="00AF05A9" w:rsidRDefault="00AF05A9" w:rsidP="00AF05A9">
      <w:pPr>
        <w:pStyle w:val="ListParagraph"/>
        <w:ind w:left="735"/>
        <w:jc w:val="both"/>
        <w:rPr>
          <w:rFonts w:cstheme="minorHAnsi"/>
          <w:lang w:val="fr-BE"/>
        </w:rPr>
      </w:pPr>
    </w:p>
    <w:p w14:paraId="48D16B40" w14:textId="6E5F072C" w:rsidR="007B53AF" w:rsidRDefault="00AF05A9" w:rsidP="00AF05A9">
      <w:pPr>
        <w:pStyle w:val="ListParagraph"/>
        <w:ind w:left="0"/>
        <w:jc w:val="both"/>
        <w:rPr>
          <w:rFonts w:cstheme="minorHAnsi"/>
          <w:lang w:val="fr-BE"/>
        </w:rPr>
      </w:pPr>
      <w:r>
        <w:rPr>
          <w:rFonts w:cstheme="minorHAnsi"/>
          <w:lang w:val="fr-BE"/>
        </w:rPr>
        <w:tab/>
      </w:r>
      <w:sdt>
        <w:sdtPr>
          <w:rPr>
            <w:rFonts w:ascii="MS Gothic" w:eastAsia="MS Gothic" w:hAnsi="MS Gothic" w:cstheme="minorHAnsi"/>
            <w:lang w:val="fr-FR"/>
          </w:rPr>
          <w:id w:val="1416747815"/>
          <w14:checkbox>
            <w14:checked w14:val="0"/>
            <w14:checkedState w14:val="2612" w14:font="MS Gothic"/>
            <w14:uncheckedState w14:val="2610" w14:font="MS Gothic"/>
          </w14:checkbox>
        </w:sdtPr>
        <w:sdtEndPr/>
        <w:sdtContent>
          <w:r w:rsidR="00070FCB">
            <w:rPr>
              <w:rFonts w:ascii="MS Gothic" w:eastAsia="MS Gothic" w:hAnsi="MS Gothic" w:cstheme="minorHAnsi" w:hint="eastAsia"/>
              <w:lang w:val="fr-FR"/>
            </w:rPr>
            <w:t>☐</w:t>
          </w:r>
        </w:sdtContent>
      </w:sdt>
      <w:r>
        <w:rPr>
          <w:rFonts w:cstheme="minorHAnsi"/>
          <w:lang w:val="fr-FR"/>
        </w:rPr>
        <w:t xml:space="preserve"> </w:t>
      </w:r>
      <w:r w:rsidR="007B53AF" w:rsidRPr="00AF05A9">
        <w:rPr>
          <w:rFonts w:cstheme="minorHAnsi"/>
          <w:lang w:val="fr-FR"/>
        </w:rPr>
        <w:t>Oui</w:t>
      </w:r>
      <w:r w:rsidR="0036345E">
        <w:rPr>
          <w:rFonts w:cstheme="minorHAnsi"/>
          <w:lang w:val="fr-FR"/>
        </w:rPr>
        <w:t>. L</w:t>
      </w:r>
      <w:r w:rsidRPr="00AF05A9">
        <w:rPr>
          <w:rFonts w:cstheme="minorHAnsi"/>
          <w:lang w:val="fr-BE"/>
        </w:rPr>
        <w:t xml:space="preserve">es mandataires et sous-traitants agissent sur les instructions </w:t>
      </w:r>
      <w:r w:rsidR="00CB1003">
        <w:rPr>
          <w:rFonts w:cstheme="minorHAnsi"/>
          <w:lang w:val="fr-BE"/>
        </w:rPr>
        <w:br/>
      </w:r>
      <w:r w:rsidRPr="00AF05A9">
        <w:rPr>
          <w:rFonts w:cstheme="minorHAnsi"/>
          <w:lang w:val="fr-BE"/>
        </w:rPr>
        <w:tab/>
        <w:t xml:space="preserve">et sous </w:t>
      </w:r>
      <w:r w:rsidR="00480773">
        <w:rPr>
          <w:rFonts w:cstheme="minorHAnsi"/>
          <w:lang w:val="fr-BE"/>
        </w:rPr>
        <w:t xml:space="preserve">le </w:t>
      </w:r>
      <w:r w:rsidRPr="00AF05A9">
        <w:rPr>
          <w:rFonts w:cstheme="minorHAnsi"/>
          <w:lang w:val="fr-BE"/>
        </w:rPr>
        <w:t xml:space="preserve">contrôle et </w:t>
      </w:r>
      <w:r w:rsidR="00480773">
        <w:rPr>
          <w:rFonts w:cstheme="minorHAnsi"/>
          <w:lang w:val="fr-BE"/>
        </w:rPr>
        <w:t xml:space="preserve">la </w:t>
      </w:r>
      <w:r w:rsidRPr="00AF05A9">
        <w:rPr>
          <w:rFonts w:cstheme="minorHAnsi"/>
          <w:lang w:val="fr-BE"/>
        </w:rPr>
        <w:t>responsabilité de l’intermédiaire.</w:t>
      </w:r>
      <w:r w:rsidR="004267A6">
        <w:rPr>
          <w:rFonts w:cstheme="minorHAnsi"/>
          <w:lang w:val="fr-BE"/>
        </w:rPr>
        <w:t xml:space="preserve"> </w:t>
      </w:r>
      <w:r w:rsidR="004267A6" w:rsidRPr="00F90E45">
        <w:rPr>
          <w:rFonts w:cstheme="minorHAnsi"/>
          <w:u w:val="single"/>
          <w:lang w:val="fr-BE"/>
        </w:rPr>
        <w:t xml:space="preserve">Veuillez </w:t>
      </w:r>
      <w:r w:rsidR="007244D2" w:rsidRPr="00F90E45">
        <w:rPr>
          <w:rFonts w:cstheme="minorHAnsi"/>
          <w:u w:val="single"/>
          <w:lang w:val="fr-BE"/>
        </w:rPr>
        <w:t>indiquer ci-dessous</w:t>
      </w:r>
      <w:r w:rsidR="007244D2">
        <w:rPr>
          <w:rFonts w:cstheme="minorHAnsi"/>
          <w:lang w:val="fr-BE"/>
        </w:rPr>
        <w:t> :</w:t>
      </w:r>
    </w:p>
    <w:p w14:paraId="618E5BF2" w14:textId="5CB2BD9A" w:rsidR="004267A6" w:rsidRDefault="004267A6" w:rsidP="00AF05A9">
      <w:pPr>
        <w:pStyle w:val="ListParagraph"/>
        <w:ind w:left="0"/>
        <w:jc w:val="both"/>
        <w:rPr>
          <w:rFonts w:cstheme="minorHAnsi"/>
          <w:lang w:val="fr-BE"/>
        </w:rPr>
      </w:pPr>
    </w:p>
    <w:tbl>
      <w:tblPr>
        <w:tblStyle w:val="TableGrid"/>
        <w:tblW w:w="9917" w:type="dxa"/>
        <w:tblLook w:val="04A0" w:firstRow="1" w:lastRow="0" w:firstColumn="1" w:lastColumn="0" w:noHBand="0" w:noVBand="1"/>
      </w:tblPr>
      <w:tblGrid>
        <w:gridCol w:w="3397"/>
        <w:gridCol w:w="6520"/>
      </w:tblGrid>
      <w:tr w:rsidR="00FF15EA" w14:paraId="0E71BDE2" w14:textId="77777777" w:rsidTr="00FF15EA">
        <w:tc>
          <w:tcPr>
            <w:tcW w:w="3397" w:type="dxa"/>
          </w:tcPr>
          <w:p w14:paraId="24680D48" w14:textId="458F0FCC" w:rsidR="00FF15EA" w:rsidRDefault="00FF15EA" w:rsidP="00AF05A9">
            <w:pPr>
              <w:pStyle w:val="ListParagraph"/>
              <w:ind w:left="0"/>
              <w:jc w:val="both"/>
              <w:rPr>
                <w:rFonts w:cstheme="minorHAnsi"/>
                <w:lang w:val="fr-BE"/>
              </w:rPr>
            </w:pPr>
            <w:r>
              <w:rPr>
                <w:rFonts w:cstheme="minorHAnsi"/>
                <w:i/>
                <w:lang w:val="fr-BE"/>
              </w:rPr>
              <w:t>Les</w:t>
            </w:r>
            <w:r w:rsidRPr="004267A6">
              <w:rPr>
                <w:rFonts w:cstheme="minorHAnsi"/>
                <w:i/>
                <w:lang w:val="fr-BE"/>
              </w:rPr>
              <w:t xml:space="preserve"> </w:t>
            </w:r>
            <w:r>
              <w:rPr>
                <w:rFonts w:cstheme="minorHAnsi"/>
                <w:i/>
                <w:lang w:val="fr-BE"/>
              </w:rPr>
              <w:t>tâches</w:t>
            </w:r>
            <w:r w:rsidRPr="004267A6">
              <w:rPr>
                <w:rFonts w:cstheme="minorHAnsi"/>
                <w:i/>
                <w:lang w:val="fr-BE"/>
              </w:rPr>
              <w:t xml:space="preserve"> sous-traitées</w:t>
            </w:r>
            <w:r>
              <w:rPr>
                <w:rFonts w:cstheme="minorHAnsi"/>
                <w:i/>
                <w:lang w:val="fr-BE"/>
              </w:rPr>
              <w:t> :</w:t>
            </w:r>
          </w:p>
        </w:tc>
        <w:tc>
          <w:tcPr>
            <w:tcW w:w="6520" w:type="dxa"/>
          </w:tcPr>
          <w:p w14:paraId="3020DEB7" w14:textId="77777777" w:rsidR="00FF15EA" w:rsidRDefault="00FF15EA" w:rsidP="00AF05A9">
            <w:pPr>
              <w:pStyle w:val="ListParagraph"/>
              <w:ind w:left="0"/>
              <w:jc w:val="both"/>
              <w:rPr>
                <w:rFonts w:cstheme="minorHAnsi"/>
                <w:lang w:val="fr-BE"/>
              </w:rPr>
            </w:pPr>
          </w:p>
          <w:p w14:paraId="46D25773" w14:textId="6479CFAC" w:rsidR="00FF15EA" w:rsidRDefault="00FF15EA" w:rsidP="00AF05A9">
            <w:pPr>
              <w:pStyle w:val="ListParagraph"/>
              <w:ind w:left="0"/>
              <w:jc w:val="both"/>
              <w:rPr>
                <w:rFonts w:cstheme="minorHAnsi"/>
                <w:lang w:val="fr-BE"/>
              </w:rPr>
            </w:pPr>
          </w:p>
        </w:tc>
      </w:tr>
      <w:tr w:rsidR="00FF15EA" w14:paraId="20A1E679" w14:textId="77777777" w:rsidTr="00FF15EA">
        <w:tc>
          <w:tcPr>
            <w:tcW w:w="3397" w:type="dxa"/>
          </w:tcPr>
          <w:p w14:paraId="006BAA34" w14:textId="5DC01907" w:rsidR="00FF15EA" w:rsidRDefault="00FF15EA" w:rsidP="00AF05A9">
            <w:pPr>
              <w:pStyle w:val="ListParagraph"/>
              <w:ind w:left="0"/>
              <w:jc w:val="both"/>
              <w:rPr>
                <w:rFonts w:cstheme="minorHAnsi"/>
                <w:i/>
                <w:lang w:val="fr-BE"/>
              </w:rPr>
            </w:pPr>
            <w:r>
              <w:rPr>
                <w:rFonts w:cstheme="minorHAnsi"/>
                <w:i/>
                <w:lang w:val="fr-BE"/>
              </w:rPr>
              <w:t>Les raisons de la sous-traitance :</w:t>
            </w:r>
          </w:p>
        </w:tc>
        <w:tc>
          <w:tcPr>
            <w:tcW w:w="6520" w:type="dxa"/>
          </w:tcPr>
          <w:p w14:paraId="7FBDBD97" w14:textId="77777777" w:rsidR="00FF15EA" w:rsidRDefault="00FF15EA" w:rsidP="00AF05A9">
            <w:pPr>
              <w:pStyle w:val="ListParagraph"/>
              <w:ind w:left="0"/>
              <w:jc w:val="both"/>
              <w:rPr>
                <w:rFonts w:cstheme="minorHAnsi"/>
                <w:lang w:val="fr-BE"/>
              </w:rPr>
            </w:pPr>
          </w:p>
          <w:p w14:paraId="3D6D2E9C" w14:textId="6F17D11A" w:rsidR="00FF15EA" w:rsidRDefault="00FF15EA" w:rsidP="00AF05A9">
            <w:pPr>
              <w:pStyle w:val="ListParagraph"/>
              <w:ind w:left="0"/>
              <w:jc w:val="both"/>
              <w:rPr>
                <w:rFonts w:cstheme="minorHAnsi"/>
                <w:lang w:val="fr-BE"/>
              </w:rPr>
            </w:pPr>
          </w:p>
        </w:tc>
      </w:tr>
      <w:tr w:rsidR="00FF15EA" w14:paraId="4E474553" w14:textId="77777777" w:rsidTr="00FF15EA">
        <w:tc>
          <w:tcPr>
            <w:tcW w:w="3397" w:type="dxa"/>
          </w:tcPr>
          <w:p w14:paraId="29D14707" w14:textId="531762BC" w:rsidR="00FF15EA" w:rsidRDefault="00FF15EA" w:rsidP="00AF05A9">
            <w:pPr>
              <w:pStyle w:val="ListParagraph"/>
              <w:ind w:left="0"/>
              <w:jc w:val="both"/>
              <w:rPr>
                <w:rFonts w:cstheme="minorHAnsi"/>
                <w:i/>
                <w:lang w:val="fr-BE"/>
              </w:rPr>
            </w:pPr>
            <w:r>
              <w:rPr>
                <w:rFonts w:cstheme="minorHAnsi"/>
                <w:i/>
                <w:lang w:val="fr-BE"/>
              </w:rPr>
              <w:t>L’identité du mandataire/sous-traitant :</w:t>
            </w:r>
          </w:p>
        </w:tc>
        <w:tc>
          <w:tcPr>
            <w:tcW w:w="6520" w:type="dxa"/>
          </w:tcPr>
          <w:p w14:paraId="459BB58F" w14:textId="77777777" w:rsidR="00FF15EA" w:rsidRDefault="00FF15EA" w:rsidP="00AF05A9">
            <w:pPr>
              <w:pStyle w:val="ListParagraph"/>
              <w:ind w:left="0"/>
              <w:jc w:val="both"/>
              <w:rPr>
                <w:rFonts w:cstheme="minorHAnsi"/>
                <w:lang w:val="fr-BE"/>
              </w:rPr>
            </w:pPr>
          </w:p>
          <w:p w14:paraId="5C9EAC5D" w14:textId="1F0CB580" w:rsidR="00FF15EA" w:rsidRDefault="00FF15EA" w:rsidP="00AF05A9">
            <w:pPr>
              <w:pStyle w:val="ListParagraph"/>
              <w:ind w:left="0"/>
              <w:jc w:val="both"/>
              <w:rPr>
                <w:rFonts w:cstheme="minorHAnsi"/>
                <w:lang w:val="fr-BE"/>
              </w:rPr>
            </w:pPr>
          </w:p>
        </w:tc>
      </w:tr>
      <w:tr w:rsidR="00FF15EA" w14:paraId="433BE5A9" w14:textId="77777777" w:rsidTr="00FF15EA">
        <w:tc>
          <w:tcPr>
            <w:tcW w:w="3397" w:type="dxa"/>
          </w:tcPr>
          <w:p w14:paraId="0ED4F82E" w14:textId="2EBF07E1" w:rsidR="00FF15EA" w:rsidRDefault="00FF15EA" w:rsidP="00AF05A9">
            <w:pPr>
              <w:pStyle w:val="ListParagraph"/>
              <w:ind w:left="0"/>
              <w:jc w:val="both"/>
              <w:rPr>
                <w:rFonts w:cstheme="minorHAnsi"/>
                <w:i/>
                <w:lang w:val="fr-BE"/>
              </w:rPr>
            </w:pPr>
            <w:r>
              <w:rPr>
                <w:rFonts w:cstheme="minorHAnsi"/>
                <w:i/>
                <w:lang w:val="fr-BE"/>
              </w:rPr>
              <w:t>Les mesures prises pour assurer la continuité des tâches sous-traitées :</w:t>
            </w:r>
          </w:p>
        </w:tc>
        <w:tc>
          <w:tcPr>
            <w:tcW w:w="6520" w:type="dxa"/>
          </w:tcPr>
          <w:p w14:paraId="6D71E039" w14:textId="77777777" w:rsidR="00FF15EA" w:rsidRDefault="00FF15EA" w:rsidP="00AF05A9">
            <w:pPr>
              <w:pStyle w:val="ListParagraph"/>
              <w:ind w:left="0"/>
              <w:jc w:val="both"/>
              <w:rPr>
                <w:rFonts w:cstheme="minorHAnsi"/>
                <w:lang w:val="fr-BE"/>
              </w:rPr>
            </w:pPr>
          </w:p>
          <w:p w14:paraId="59C752F6" w14:textId="77777777" w:rsidR="00FF15EA" w:rsidRDefault="00FF15EA" w:rsidP="00AF05A9">
            <w:pPr>
              <w:pStyle w:val="ListParagraph"/>
              <w:ind w:left="0"/>
              <w:jc w:val="both"/>
              <w:rPr>
                <w:rFonts w:cstheme="minorHAnsi"/>
                <w:lang w:val="fr-BE"/>
              </w:rPr>
            </w:pPr>
          </w:p>
          <w:p w14:paraId="1B41B7FB" w14:textId="5C7D9B9A" w:rsidR="00FF15EA" w:rsidRDefault="00FF15EA" w:rsidP="00AF05A9">
            <w:pPr>
              <w:pStyle w:val="ListParagraph"/>
              <w:ind w:left="0"/>
              <w:jc w:val="both"/>
              <w:rPr>
                <w:rFonts w:cstheme="minorHAnsi"/>
                <w:lang w:val="fr-BE"/>
              </w:rPr>
            </w:pPr>
          </w:p>
        </w:tc>
      </w:tr>
      <w:tr w:rsidR="00FF15EA" w14:paraId="769394C1" w14:textId="77777777" w:rsidTr="00FF15EA">
        <w:tc>
          <w:tcPr>
            <w:tcW w:w="3397" w:type="dxa"/>
          </w:tcPr>
          <w:p w14:paraId="4EE6166A" w14:textId="02F8D715" w:rsidR="00FF15EA" w:rsidRDefault="00FF15EA" w:rsidP="00AF05A9">
            <w:pPr>
              <w:pStyle w:val="ListParagraph"/>
              <w:ind w:left="0"/>
              <w:jc w:val="both"/>
              <w:rPr>
                <w:rFonts w:cstheme="minorHAnsi"/>
                <w:i/>
                <w:lang w:val="fr-BE"/>
              </w:rPr>
            </w:pPr>
            <w:r>
              <w:rPr>
                <w:rFonts w:cstheme="minorHAnsi"/>
                <w:i/>
                <w:lang w:val="fr-BE"/>
              </w:rPr>
              <w:t>Les mesures prises pour assurer le contrôle du mandataire/sous-traitant :</w:t>
            </w:r>
          </w:p>
        </w:tc>
        <w:tc>
          <w:tcPr>
            <w:tcW w:w="6520" w:type="dxa"/>
          </w:tcPr>
          <w:p w14:paraId="6C93BCCF" w14:textId="77777777" w:rsidR="00FF15EA" w:rsidRDefault="00FF15EA" w:rsidP="00AF05A9">
            <w:pPr>
              <w:pStyle w:val="ListParagraph"/>
              <w:ind w:left="0"/>
              <w:jc w:val="both"/>
              <w:rPr>
                <w:rFonts w:cstheme="minorHAnsi"/>
                <w:lang w:val="fr-BE"/>
              </w:rPr>
            </w:pPr>
          </w:p>
          <w:p w14:paraId="15D9FDF8" w14:textId="77777777" w:rsidR="00FF15EA" w:rsidRDefault="00FF15EA" w:rsidP="00AF05A9">
            <w:pPr>
              <w:pStyle w:val="ListParagraph"/>
              <w:ind w:left="0"/>
              <w:jc w:val="both"/>
              <w:rPr>
                <w:rFonts w:cstheme="minorHAnsi"/>
                <w:lang w:val="fr-BE"/>
              </w:rPr>
            </w:pPr>
          </w:p>
          <w:p w14:paraId="6BF6CFEC" w14:textId="68656B80" w:rsidR="00FF15EA" w:rsidRDefault="00FF15EA" w:rsidP="00AF05A9">
            <w:pPr>
              <w:pStyle w:val="ListParagraph"/>
              <w:ind w:left="0"/>
              <w:jc w:val="both"/>
              <w:rPr>
                <w:rFonts w:cstheme="minorHAnsi"/>
                <w:lang w:val="fr-BE"/>
              </w:rPr>
            </w:pPr>
          </w:p>
        </w:tc>
      </w:tr>
    </w:tbl>
    <w:p w14:paraId="5020AE50" w14:textId="77777777" w:rsidR="00FF15EA" w:rsidRDefault="00FF15EA" w:rsidP="00AF05A9">
      <w:pPr>
        <w:pStyle w:val="ListParagraph"/>
        <w:ind w:left="0"/>
        <w:jc w:val="both"/>
        <w:rPr>
          <w:rFonts w:cstheme="minorHAnsi"/>
          <w:lang w:val="fr-BE"/>
        </w:rPr>
      </w:pPr>
    </w:p>
    <w:p w14:paraId="6185ECB5" w14:textId="6C0E05C5" w:rsidR="0076077D" w:rsidRDefault="002F526D" w:rsidP="007244D2">
      <w:pPr>
        <w:spacing w:after="120"/>
        <w:ind w:left="720"/>
        <w:jc w:val="both"/>
        <w:rPr>
          <w:rFonts w:cstheme="minorHAnsi"/>
          <w:lang w:val="fr-FR"/>
        </w:rPr>
      </w:pPr>
      <w:sdt>
        <w:sdtPr>
          <w:rPr>
            <w:rFonts w:cstheme="minorHAnsi"/>
            <w:lang w:val="fr-FR"/>
          </w:rPr>
          <w:id w:val="-878697234"/>
          <w14:checkbox>
            <w14:checked w14:val="0"/>
            <w14:checkedState w14:val="2612" w14:font="MS Gothic"/>
            <w14:uncheckedState w14:val="2610" w14:font="MS Gothic"/>
          </w14:checkbox>
        </w:sdtPr>
        <w:sdtEndPr/>
        <w:sdtContent>
          <w:r w:rsidR="00C742BF">
            <w:rPr>
              <w:rFonts w:ascii="MS Gothic" w:eastAsia="MS Gothic" w:hAnsi="MS Gothic" w:cstheme="minorHAnsi" w:hint="eastAsia"/>
              <w:lang w:val="fr-FR"/>
            </w:rPr>
            <w:t>☐</w:t>
          </w:r>
        </w:sdtContent>
      </w:sdt>
      <w:r w:rsidR="00AF05A9">
        <w:rPr>
          <w:rFonts w:cstheme="minorHAnsi"/>
          <w:lang w:val="fr-FR"/>
        </w:rPr>
        <w:t xml:space="preserve"> </w:t>
      </w:r>
      <w:r w:rsidR="007B53AF" w:rsidRPr="00772281">
        <w:rPr>
          <w:rFonts w:cstheme="minorHAnsi"/>
          <w:lang w:val="fr-FR"/>
        </w:rPr>
        <w:t>Non</w:t>
      </w:r>
    </w:p>
    <w:p w14:paraId="710050C6" w14:textId="77777777" w:rsidR="000F050E" w:rsidRDefault="000F050E" w:rsidP="007244D2">
      <w:pPr>
        <w:spacing w:after="120"/>
        <w:ind w:left="720"/>
        <w:jc w:val="both"/>
        <w:rPr>
          <w:rFonts w:cstheme="minorHAnsi"/>
          <w:lang w:val="fr-FR"/>
        </w:rPr>
      </w:pPr>
    </w:p>
    <w:p w14:paraId="69D6C420" w14:textId="2409054C" w:rsidR="0076077D" w:rsidRPr="00772281" w:rsidRDefault="0076077D" w:rsidP="0076077D">
      <w:pPr>
        <w:pStyle w:val="ListParagraph"/>
        <w:numPr>
          <w:ilvl w:val="1"/>
          <w:numId w:val="4"/>
        </w:numPr>
        <w:jc w:val="both"/>
        <w:rPr>
          <w:rFonts w:cstheme="minorHAnsi"/>
          <w:lang w:val="fr-BE"/>
        </w:rPr>
      </w:pPr>
      <w:r w:rsidRPr="00772281">
        <w:rPr>
          <w:rFonts w:cstheme="minorHAnsi"/>
          <w:lang w:val="fr-BE"/>
        </w:rPr>
        <w:t xml:space="preserve">L’intermédiaire </w:t>
      </w:r>
      <w:r>
        <w:rPr>
          <w:rFonts w:cstheme="minorHAnsi"/>
          <w:lang w:val="fr-BE"/>
        </w:rPr>
        <w:t>envisage</w:t>
      </w:r>
      <w:r w:rsidRPr="00772281">
        <w:rPr>
          <w:rFonts w:cstheme="minorHAnsi"/>
          <w:lang w:val="fr-BE"/>
        </w:rPr>
        <w:t xml:space="preserve">-t-il </w:t>
      </w:r>
      <w:r w:rsidRPr="00F90E45">
        <w:rPr>
          <w:rFonts w:cstheme="minorHAnsi"/>
          <w:lang w:val="fr-BE"/>
        </w:rPr>
        <w:t xml:space="preserve">de </w:t>
      </w:r>
      <w:r>
        <w:rPr>
          <w:rFonts w:cstheme="minorHAnsi"/>
          <w:b/>
          <w:lang w:val="fr-BE"/>
        </w:rPr>
        <w:t>recourir à des</w:t>
      </w:r>
      <w:r>
        <w:rPr>
          <w:rFonts w:cstheme="minorHAnsi"/>
          <w:lang w:val="fr-BE"/>
        </w:rPr>
        <w:t xml:space="preserve"> </w:t>
      </w:r>
      <w:r w:rsidRPr="00073A58">
        <w:rPr>
          <w:rFonts w:cstheme="minorHAnsi"/>
          <w:b/>
          <w:lang w:val="fr-BE"/>
        </w:rPr>
        <w:t>tiers introducteurs</w:t>
      </w:r>
      <w:r w:rsidR="002A59F9">
        <w:rPr>
          <w:rStyle w:val="FootnoteReference"/>
          <w:rFonts w:cstheme="minorHAnsi"/>
          <w:b/>
          <w:lang w:val="fr-BE"/>
        </w:rPr>
        <w:footnoteReference w:id="5"/>
      </w:r>
      <w:r w:rsidR="00C95F9C">
        <w:rPr>
          <w:rFonts w:cstheme="minorHAnsi"/>
          <w:b/>
          <w:lang w:val="fr-BE"/>
        </w:rPr>
        <w:t> </w:t>
      </w:r>
      <w:r w:rsidR="00C95F9C">
        <w:rPr>
          <w:rFonts w:cstheme="minorHAnsi"/>
          <w:lang w:val="fr-BE"/>
        </w:rPr>
        <w:t>?</w:t>
      </w:r>
    </w:p>
    <w:p w14:paraId="0B3DBD60" w14:textId="290D25C9" w:rsidR="00EF54DD" w:rsidRPr="007B26AD" w:rsidRDefault="00AF05A9" w:rsidP="00AF05A9">
      <w:pPr>
        <w:spacing w:after="40"/>
        <w:jc w:val="both"/>
        <w:rPr>
          <w:rFonts w:cstheme="minorHAnsi"/>
          <w:lang w:val="fr-FR"/>
        </w:rPr>
      </w:pPr>
      <w:r>
        <w:rPr>
          <w:rFonts w:cstheme="minorHAnsi"/>
          <w:lang w:val="fr-FR"/>
        </w:rPr>
        <w:tab/>
      </w:r>
      <w:sdt>
        <w:sdtPr>
          <w:rPr>
            <w:rFonts w:cstheme="minorHAnsi"/>
            <w:lang w:val="fr-FR"/>
          </w:rPr>
          <w:id w:val="985599978"/>
          <w14:checkbox>
            <w14:checked w14:val="0"/>
            <w14:checkedState w14:val="2612" w14:font="MS Gothic"/>
            <w14:uncheckedState w14:val="2610" w14:font="MS Gothic"/>
          </w14:checkbox>
        </w:sdtPr>
        <w:sdtEndPr/>
        <w:sdtContent>
          <w:r w:rsidR="0076077D" w:rsidRPr="00772281">
            <w:rPr>
              <w:rFonts w:ascii="Segoe UI Symbol" w:eastAsia="MS Gothic" w:hAnsi="Segoe UI Symbol" w:cs="Segoe UI Symbol"/>
              <w:lang w:val="fr-FR"/>
            </w:rPr>
            <w:t>☐</w:t>
          </w:r>
        </w:sdtContent>
      </w:sdt>
      <w:r>
        <w:rPr>
          <w:rFonts w:cstheme="minorHAnsi"/>
          <w:lang w:val="fr-FR"/>
        </w:rPr>
        <w:t xml:space="preserve"> </w:t>
      </w:r>
      <w:r w:rsidR="0076077D" w:rsidRPr="00772281">
        <w:rPr>
          <w:rFonts w:cstheme="minorHAnsi"/>
          <w:lang w:val="fr-FR"/>
        </w:rPr>
        <w:t>Oui</w:t>
      </w:r>
      <w:r w:rsidR="0036345E">
        <w:rPr>
          <w:rFonts w:cstheme="minorHAnsi"/>
          <w:lang w:val="fr-FR"/>
        </w:rPr>
        <w:t>. L</w:t>
      </w:r>
      <w:r w:rsidRPr="00AF05A9">
        <w:rPr>
          <w:rFonts w:cstheme="minorHAnsi"/>
          <w:lang w:val="fr-FR"/>
        </w:rPr>
        <w:t>a responsabilité finale du r</w:t>
      </w:r>
      <w:r w:rsidR="00070FCB">
        <w:rPr>
          <w:rFonts w:cstheme="minorHAnsi"/>
          <w:lang w:val="fr-FR"/>
        </w:rPr>
        <w:t xml:space="preserve">espect des obligations de </w:t>
      </w:r>
      <w:r w:rsidR="00480773">
        <w:rPr>
          <w:rFonts w:cstheme="minorHAnsi"/>
          <w:lang w:val="fr-FR"/>
        </w:rPr>
        <w:t>L</w:t>
      </w:r>
      <w:r w:rsidR="00070FCB">
        <w:rPr>
          <w:rFonts w:cstheme="minorHAnsi"/>
          <w:lang w:val="fr-FR"/>
        </w:rPr>
        <w:t>BC/FT</w:t>
      </w:r>
      <w:r w:rsidR="00CB1003">
        <w:rPr>
          <w:rFonts w:cstheme="minorHAnsi"/>
          <w:b/>
          <w:lang w:val="fr-FR"/>
        </w:rPr>
        <w:br/>
      </w:r>
      <w:r w:rsidR="00070FCB">
        <w:rPr>
          <w:rFonts w:cstheme="minorHAnsi"/>
          <w:b/>
          <w:lang w:val="fr-FR"/>
        </w:rPr>
        <w:tab/>
      </w:r>
      <w:r w:rsidRPr="00AF05A9">
        <w:rPr>
          <w:rFonts w:cstheme="minorHAnsi"/>
          <w:lang w:val="fr-FR"/>
        </w:rPr>
        <w:t>demeure à charge de l’intermédiaire</w:t>
      </w:r>
      <w:r w:rsidR="00457E45">
        <w:rPr>
          <w:rStyle w:val="FootnoteReference"/>
          <w:rFonts w:cstheme="minorHAnsi"/>
          <w:lang w:val="fr-FR"/>
        </w:rPr>
        <w:footnoteReference w:id="6"/>
      </w:r>
      <w:r w:rsidRPr="00AF05A9">
        <w:rPr>
          <w:rFonts w:cstheme="minorHAnsi"/>
          <w:lang w:val="fr-FR"/>
        </w:rPr>
        <w:t>.</w:t>
      </w:r>
      <w:r w:rsidR="00EF54DD">
        <w:rPr>
          <w:rFonts w:cstheme="minorHAnsi"/>
          <w:lang w:val="fr-FR"/>
        </w:rPr>
        <w:t xml:space="preserve"> </w:t>
      </w:r>
      <w:r w:rsidR="00EF54DD" w:rsidRPr="007B26AD">
        <w:rPr>
          <w:rFonts w:cstheme="minorHAnsi"/>
          <w:lang w:val="fr-FR"/>
        </w:rPr>
        <w:t xml:space="preserve">Le tiers introducteur transmettra à première demande tous </w:t>
      </w:r>
      <w:r w:rsidR="00EF54DD" w:rsidRPr="007B26AD">
        <w:rPr>
          <w:rFonts w:cstheme="minorHAnsi"/>
          <w:lang w:val="fr-FR"/>
        </w:rPr>
        <w:tab/>
        <w:t>les documents :</w:t>
      </w:r>
    </w:p>
    <w:p w14:paraId="6F2F00CC" w14:textId="5000A082" w:rsidR="0076077D" w:rsidRPr="007B26AD" w:rsidRDefault="00EF54DD" w:rsidP="00AF05A9">
      <w:pPr>
        <w:spacing w:after="40"/>
        <w:jc w:val="both"/>
        <w:rPr>
          <w:rFonts w:cstheme="minorHAnsi"/>
          <w:lang w:val="fr-FR"/>
        </w:rPr>
      </w:pPr>
      <w:r w:rsidRPr="007B26AD">
        <w:rPr>
          <w:rFonts w:cstheme="minorHAnsi"/>
          <w:lang w:val="fr-FR"/>
        </w:rPr>
        <w:tab/>
      </w:r>
      <w:r w:rsidRPr="007B26AD">
        <w:rPr>
          <w:rFonts w:cstheme="minorHAnsi"/>
          <w:lang w:val="fr-FR"/>
        </w:rPr>
        <w:tab/>
        <w:t>- relatifs à l’identification et la vérification de l’identité du client</w:t>
      </w:r>
      <w:r w:rsidRPr="007B26AD">
        <w:rPr>
          <w:rStyle w:val="FootnoteReference"/>
          <w:rFonts w:cstheme="minorHAnsi"/>
          <w:lang w:val="fr-FR"/>
        </w:rPr>
        <w:footnoteReference w:id="7"/>
      </w:r>
      <w:r w:rsidRPr="007B26AD">
        <w:rPr>
          <w:rFonts w:cstheme="minorHAnsi"/>
          <w:lang w:val="fr-FR"/>
        </w:rPr>
        <w:t> ;</w:t>
      </w:r>
    </w:p>
    <w:p w14:paraId="75A1D735" w14:textId="72A00636" w:rsidR="00EF54DD" w:rsidRPr="00772281" w:rsidRDefault="00EF54DD" w:rsidP="00AF05A9">
      <w:pPr>
        <w:spacing w:after="40"/>
        <w:jc w:val="both"/>
        <w:rPr>
          <w:rFonts w:cstheme="minorHAnsi"/>
          <w:lang w:val="fr-FR"/>
        </w:rPr>
      </w:pPr>
      <w:r w:rsidRPr="007B26AD">
        <w:rPr>
          <w:rFonts w:cstheme="minorHAnsi"/>
          <w:lang w:val="fr-FR"/>
        </w:rPr>
        <w:tab/>
      </w:r>
      <w:r w:rsidRPr="007B26AD">
        <w:rPr>
          <w:rFonts w:cstheme="minorHAnsi"/>
          <w:lang w:val="fr-FR"/>
        </w:rPr>
        <w:tab/>
        <w:t xml:space="preserve">- concernant les caractéristiques du client et l’objet et la nature envisagée de la relation </w:t>
      </w:r>
      <w:r w:rsidRPr="007B26AD">
        <w:rPr>
          <w:rFonts w:cstheme="minorHAnsi"/>
          <w:lang w:val="fr-FR"/>
        </w:rPr>
        <w:tab/>
      </w:r>
      <w:r w:rsidRPr="007B26AD">
        <w:rPr>
          <w:rFonts w:cstheme="minorHAnsi"/>
          <w:lang w:val="fr-FR"/>
        </w:rPr>
        <w:tab/>
      </w:r>
      <w:r w:rsidRPr="007B26AD">
        <w:rPr>
          <w:rFonts w:cstheme="minorHAnsi"/>
          <w:lang w:val="fr-FR"/>
        </w:rPr>
        <w:tab/>
        <w:t xml:space="preserve">d’affaires, qui sont nécessaires à l’exécution des obligations de vigilance confiées au tiers </w:t>
      </w:r>
      <w:r w:rsidRPr="007B26AD">
        <w:rPr>
          <w:rFonts w:cstheme="minorHAnsi"/>
          <w:lang w:val="fr-FR"/>
        </w:rPr>
        <w:tab/>
      </w:r>
      <w:r w:rsidRPr="007B26AD">
        <w:rPr>
          <w:rFonts w:cstheme="minorHAnsi"/>
          <w:lang w:val="fr-FR"/>
        </w:rPr>
        <w:tab/>
        <w:t>introducteur.</w:t>
      </w:r>
    </w:p>
    <w:p w14:paraId="793E9801" w14:textId="569BECDF" w:rsidR="0076077D" w:rsidRDefault="002F526D" w:rsidP="0076077D">
      <w:pPr>
        <w:spacing w:after="120"/>
        <w:ind w:left="720"/>
        <w:jc w:val="both"/>
        <w:rPr>
          <w:rFonts w:cstheme="minorHAnsi"/>
          <w:lang w:val="fr-FR"/>
        </w:rPr>
      </w:pPr>
      <w:sdt>
        <w:sdtPr>
          <w:rPr>
            <w:rFonts w:cstheme="minorHAnsi"/>
            <w:lang w:val="fr-FR"/>
          </w:rPr>
          <w:id w:val="-529801400"/>
          <w14:checkbox>
            <w14:checked w14:val="0"/>
            <w14:checkedState w14:val="2612" w14:font="MS Gothic"/>
            <w14:uncheckedState w14:val="2610" w14:font="MS Gothic"/>
          </w14:checkbox>
        </w:sdtPr>
        <w:sdtEndPr/>
        <w:sdtContent>
          <w:r w:rsidR="0076077D" w:rsidRPr="00772281">
            <w:rPr>
              <w:rFonts w:ascii="Segoe UI Symbol" w:hAnsi="Segoe UI Symbol" w:cs="Segoe UI Symbol"/>
              <w:lang w:val="fr-FR"/>
            </w:rPr>
            <w:t>☐</w:t>
          </w:r>
        </w:sdtContent>
      </w:sdt>
      <w:r w:rsidR="00AF05A9">
        <w:rPr>
          <w:rFonts w:cstheme="minorHAnsi"/>
          <w:lang w:val="fr-FR"/>
        </w:rPr>
        <w:t xml:space="preserve"> </w:t>
      </w:r>
      <w:r w:rsidR="0076077D" w:rsidRPr="00772281">
        <w:rPr>
          <w:rFonts w:cstheme="minorHAnsi"/>
          <w:lang w:val="fr-FR"/>
        </w:rPr>
        <w:t>Non</w:t>
      </w:r>
    </w:p>
    <w:p w14:paraId="094A01C7" w14:textId="1BDF162E" w:rsidR="000F050E" w:rsidRPr="00772281" w:rsidRDefault="000F050E" w:rsidP="0076077D">
      <w:pPr>
        <w:spacing w:after="120"/>
        <w:ind w:left="720"/>
        <w:jc w:val="both"/>
        <w:rPr>
          <w:rFonts w:cstheme="minorHAnsi"/>
          <w:lang w:val="fr-FR"/>
        </w:rPr>
      </w:pPr>
    </w:p>
    <w:p w14:paraId="0A5754F8" w14:textId="439BB629" w:rsidR="00B37FB8" w:rsidRPr="00772281" w:rsidRDefault="00B37FB8" w:rsidP="0076077D">
      <w:pPr>
        <w:pStyle w:val="ListParagraph"/>
        <w:keepNext/>
        <w:keepLines/>
        <w:numPr>
          <w:ilvl w:val="1"/>
          <w:numId w:val="4"/>
        </w:numPr>
        <w:spacing w:before="40" w:after="240"/>
        <w:jc w:val="both"/>
        <w:outlineLvl w:val="1"/>
        <w:rPr>
          <w:rFonts w:eastAsiaTheme="majorEastAsia" w:cstheme="minorHAnsi"/>
          <w:lang w:val="fr-FR"/>
        </w:rPr>
      </w:pPr>
      <w:r w:rsidRPr="00772281">
        <w:rPr>
          <w:rFonts w:eastAsiaTheme="majorEastAsia" w:cstheme="minorHAnsi"/>
          <w:lang w:val="fr-FR"/>
        </w:rPr>
        <w:t xml:space="preserve">L’intermédiaire va-t-il procéder à </w:t>
      </w:r>
      <w:r w:rsidRPr="00772281">
        <w:rPr>
          <w:rFonts w:eastAsiaTheme="majorEastAsia" w:cstheme="minorHAnsi"/>
          <w:b/>
          <w:lang w:val="fr-FR"/>
        </w:rPr>
        <w:t>l’encaissement des primes</w:t>
      </w:r>
      <w:r w:rsidR="00C3128B">
        <w:rPr>
          <w:rFonts w:eastAsiaTheme="majorEastAsia" w:cstheme="minorHAnsi"/>
          <w:b/>
          <w:lang w:val="fr-FR"/>
        </w:rPr>
        <w:t xml:space="preserve"> d’assurances</w:t>
      </w:r>
      <w:r w:rsidRPr="00772281">
        <w:rPr>
          <w:rFonts w:eastAsiaTheme="majorEastAsia" w:cstheme="minorHAnsi"/>
          <w:lang w:val="fr-FR"/>
        </w:rPr>
        <w:t xml:space="preserve"> </w:t>
      </w:r>
      <w:r w:rsidR="00E833CB">
        <w:rPr>
          <w:rFonts w:eastAsiaTheme="majorEastAsia" w:cstheme="minorHAnsi"/>
          <w:lang w:val="fr-FR"/>
        </w:rPr>
        <w:t xml:space="preserve">dans les branches « vie » </w:t>
      </w:r>
      <w:r w:rsidR="00883908">
        <w:rPr>
          <w:rFonts w:eastAsiaTheme="majorEastAsia" w:cstheme="minorHAnsi"/>
          <w:lang w:val="fr-FR"/>
        </w:rPr>
        <w:t xml:space="preserve">pour le compte </w:t>
      </w:r>
      <w:r w:rsidR="0025793B">
        <w:rPr>
          <w:rFonts w:eastAsiaTheme="majorEastAsia" w:cstheme="minorHAnsi"/>
          <w:lang w:val="fr-FR"/>
        </w:rPr>
        <w:t xml:space="preserve">d’une ou plusieurs </w:t>
      </w:r>
      <w:r w:rsidR="00883908">
        <w:rPr>
          <w:rFonts w:eastAsiaTheme="majorEastAsia" w:cstheme="minorHAnsi"/>
          <w:lang w:val="fr-FR"/>
        </w:rPr>
        <w:t>entreprise</w:t>
      </w:r>
      <w:r w:rsidR="0025793B">
        <w:rPr>
          <w:rFonts w:eastAsiaTheme="majorEastAsia" w:cstheme="minorHAnsi"/>
          <w:lang w:val="fr-FR"/>
        </w:rPr>
        <w:t>(s)</w:t>
      </w:r>
      <w:r w:rsidR="00883908">
        <w:rPr>
          <w:rFonts w:eastAsiaTheme="majorEastAsia" w:cstheme="minorHAnsi"/>
          <w:lang w:val="fr-FR"/>
        </w:rPr>
        <w:t xml:space="preserve"> d’assurance</w:t>
      </w:r>
      <w:r w:rsidR="009D6451">
        <w:rPr>
          <w:rStyle w:val="FootnoteReference"/>
          <w:rFonts w:eastAsiaTheme="majorEastAsia" w:cstheme="minorHAnsi"/>
          <w:lang w:val="fr-FR"/>
        </w:rPr>
        <w:footnoteReference w:id="8"/>
      </w:r>
      <w:r w:rsidR="00C95F9C">
        <w:rPr>
          <w:rFonts w:eastAsiaTheme="majorEastAsia" w:cstheme="minorHAnsi"/>
          <w:lang w:val="fr-FR"/>
        </w:rPr>
        <w:t> ?</w:t>
      </w:r>
      <w:r w:rsidRPr="00772281">
        <w:rPr>
          <w:rFonts w:eastAsiaTheme="majorEastAsia" w:cstheme="minorHAnsi"/>
          <w:lang w:val="fr-FR"/>
        </w:rPr>
        <w:t xml:space="preserve"> </w:t>
      </w:r>
    </w:p>
    <w:p w14:paraId="2CFE14AE" w14:textId="30DD0CAB" w:rsidR="00C742BF" w:rsidRPr="00772281" w:rsidRDefault="00AF05A9" w:rsidP="00AF05A9">
      <w:pPr>
        <w:spacing w:after="40"/>
        <w:jc w:val="both"/>
        <w:rPr>
          <w:rFonts w:cstheme="minorHAnsi"/>
          <w:lang w:val="fr-FR"/>
        </w:rPr>
      </w:pPr>
      <w:r>
        <w:rPr>
          <w:rFonts w:cstheme="minorHAnsi"/>
          <w:lang w:val="fr-FR"/>
        </w:rPr>
        <w:tab/>
      </w:r>
      <w:sdt>
        <w:sdtPr>
          <w:rPr>
            <w:rFonts w:cstheme="minorHAnsi"/>
            <w:lang w:val="fr-FR"/>
          </w:rPr>
          <w:id w:val="-1596317475"/>
          <w14:checkbox>
            <w14:checked w14:val="0"/>
            <w14:checkedState w14:val="2612" w14:font="MS Gothic"/>
            <w14:uncheckedState w14:val="2610" w14:font="MS Gothic"/>
          </w14:checkbox>
        </w:sdtPr>
        <w:sdtEndPr/>
        <w:sdtContent>
          <w:r>
            <w:rPr>
              <w:rFonts w:ascii="MS Gothic" w:eastAsia="MS Gothic" w:hAnsi="MS Gothic" w:cstheme="minorHAnsi" w:hint="eastAsia"/>
              <w:lang w:val="fr-FR"/>
            </w:rPr>
            <w:t>☐</w:t>
          </w:r>
        </w:sdtContent>
      </w:sdt>
      <w:r>
        <w:rPr>
          <w:rFonts w:cstheme="minorHAnsi"/>
          <w:lang w:val="fr-FR"/>
        </w:rPr>
        <w:t xml:space="preserve"> </w:t>
      </w:r>
      <w:r w:rsidR="00B37FB8" w:rsidRPr="00772281">
        <w:rPr>
          <w:rFonts w:cstheme="minorHAnsi"/>
          <w:lang w:val="fr-FR"/>
        </w:rPr>
        <w:t>Oui</w:t>
      </w:r>
      <w:r w:rsidR="0066261A">
        <w:rPr>
          <w:rFonts w:cstheme="minorHAnsi"/>
          <w:lang w:val="fr-FR"/>
        </w:rPr>
        <w:t xml:space="preserve">. </w:t>
      </w:r>
      <w:r w:rsidR="0066261A" w:rsidRPr="007B26AD">
        <w:rPr>
          <w:rFonts w:cstheme="minorHAnsi"/>
          <w:lang w:val="fr-FR"/>
        </w:rPr>
        <w:t xml:space="preserve">L’intermédiaire réalise un examen continu des opérations effectuées au cours de la </w:t>
      </w:r>
      <w:r w:rsidR="0066261A" w:rsidRPr="007B26AD">
        <w:rPr>
          <w:rFonts w:cstheme="minorHAnsi"/>
          <w:lang w:val="fr-FR"/>
        </w:rPr>
        <w:tab/>
        <w:t xml:space="preserve">relation d'affaires, ainsi que, si nécessaire, de l'origine des fonds afin de vérifier que ces opérations </w:t>
      </w:r>
      <w:r w:rsidR="0066261A" w:rsidRPr="007B26AD">
        <w:rPr>
          <w:rFonts w:cstheme="minorHAnsi"/>
          <w:lang w:val="fr-FR"/>
        </w:rPr>
        <w:tab/>
        <w:t xml:space="preserve">sont cohérentes par rapport aux caractéristiques du client, au niveau de risque qui lui est associé </w:t>
      </w:r>
      <w:r w:rsidR="0066261A" w:rsidRPr="007B26AD">
        <w:rPr>
          <w:rFonts w:cstheme="minorHAnsi"/>
          <w:lang w:val="fr-FR"/>
        </w:rPr>
        <w:tab/>
        <w:t xml:space="preserve">et, le cas échéant, à l'objet et à la nature de la relation d'affaires, et de détecter les opérations </w:t>
      </w:r>
      <w:r w:rsidR="0066261A" w:rsidRPr="007B26AD">
        <w:rPr>
          <w:rFonts w:cstheme="minorHAnsi"/>
          <w:lang w:val="fr-FR"/>
        </w:rPr>
        <w:tab/>
        <w:t>atypiques.</w:t>
      </w:r>
    </w:p>
    <w:p w14:paraId="325396F7" w14:textId="1E9D8683" w:rsidR="002A59F9" w:rsidRDefault="002F526D" w:rsidP="0025793B">
      <w:pPr>
        <w:spacing w:after="120"/>
        <w:ind w:left="720"/>
        <w:jc w:val="both"/>
        <w:rPr>
          <w:rFonts w:cstheme="minorHAnsi"/>
          <w:lang w:val="fr-FR"/>
        </w:rPr>
      </w:pPr>
      <w:sdt>
        <w:sdtPr>
          <w:rPr>
            <w:rFonts w:cstheme="minorHAnsi"/>
            <w:lang w:val="fr-FR"/>
          </w:rPr>
          <w:id w:val="34942058"/>
          <w14:checkbox>
            <w14:checked w14:val="0"/>
            <w14:checkedState w14:val="2612" w14:font="MS Gothic"/>
            <w14:uncheckedState w14:val="2610" w14:font="MS Gothic"/>
          </w14:checkbox>
        </w:sdtPr>
        <w:sdtEndPr/>
        <w:sdtContent>
          <w:r w:rsidR="009D2F7C">
            <w:rPr>
              <w:rFonts w:ascii="MS Gothic" w:eastAsia="MS Gothic" w:hAnsi="MS Gothic" w:cstheme="minorHAnsi" w:hint="eastAsia"/>
              <w:lang w:val="fr-FR"/>
            </w:rPr>
            <w:t>☐</w:t>
          </w:r>
        </w:sdtContent>
      </w:sdt>
      <w:r w:rsidR="00AF05A9">
        <w:rPr>
          <w:rFonts w:cstheme="minorHAnsi"/>
          <w:lang w:val="fr-FR"/>
        </w:rPr>
        <w:t xml:space="preserve"> </w:t>
      </w:r>
      <w:r w:rsidR="00B37FB8" w:rsidRPr="00772281">
        <w:rPr>
          <w:rFonts w:cstheme="minorHAnsi"/>
          <w:lang w:val="fr-FR"/>
        </w:rPr>
        <w:t>Non</w:t>
      </w:r>
    </w:p>
    <w:p w14:paraId="0BB8116E" w14:textId="6EF1268D" w:rsidR="000F050E" w:rsidRPr="0025793B" w:rsidRDefault="000F050E" w:rsidP="0025793B">
      <w:pPr>
        <w:spacing w:after="120"/>
        <w:ind w:left="720"/>
        <w:jc w:val="both"/>
        <w:rPr>
          <w:rFonts w:cstheme="minorHAnsi"/>
          <w:lang w:val="fr-FR"/>
        </w:rPr>
      </w:pPr>
    </w:p>
    <w:p w14:paraId="4BD35BA5" w14:textId="645985A4" w:rsidR="007E4B5F" w:rsidRDefault="003D7DFA" w:rsidP="0076077D">
      <w:pPr>
        <w:pStyle w:val="Heading2"/>
        <w:numPr>
          <w:ilvl w:val="0"/>
          <w:numId w:val="4"/>
        </w:numPr>
        <w:rPr>
          <w:rFonts w:asciiTheme="minorHAnsi" w:hAnsiTheme="minorHAnsi" w:cstheme="minorHAnsi"/>
          <w:b/>
          <w:color w:val="auto"/>
          <w:sz w:val="28"/>
          <w:szCs w:val="28"/>
          <w:lang w:val="fr-BE"/>
        </w:rPr>
      </w:pPr>
      <w:r w:rsidRPr="00EB4139">
        <w:rPr>
          <w:rFonts w:asciiTheme="minorHAnsi" w:hAnsiTheme="minorHAnsi" w:cstheme="minorHAnsi"/>
          <w:b/>
          <w:color w:val="auto"/>
          <w:sz w:val="28"/>
          <w:szCs w:val="28"/>
          <w:lang w:val="fr-BE"/>
        </w:rPr>
        <w:t>Mise en œuvre de l’approche fondée sur les risques</w:t>
      </w:r>
      <w:r w:rsidR="007A54BF">
        <w:rPr>
          <w:rFonts w:asciiTheme="minorHAnsi" w:hAnsiTheme="minorHAnsi" w:cstheme="minorHAnsi"/>
          <w:b/>
          <w:color w:val="auto"/>
          <w:sz w:val="28"/>
          <w:szCs w:val="28"/>
          <w:lang w:val="fr-BE"/>
        </w:rPr>
        <w:t xml:space="preserve"> en matière de LBC/FT</w:t>
      </w:r>
    </w:p>
    <w:p w14:paraId="74F59E9B" w14:textId="77777777" w:rsidR="00883908" w:rsidRDefault="00883908" w:rsidP="00883908">
      <w:pPr>
        <w:pStyle w:val="ListParagraph"/>
        <w:ind w:left="1080"/>
        <w:rPr>
          <w:lang w:val="fr-BE"/>
        </w:rPr>
      </w:pPr>
    </w:p>
    <w:p w14:paraId="0396A667" w14:textId="0B6E2B9C" w:rsidR="003D7DFA" w:rsidRPr="003D7DFA" w:rsidRDefault="000353C9" w:rsidP="003D7DFA">
      <w:pPr>
        <w:jc w:val="both"/>
        <w:rPr>
          <w:i/>
          <w:u w:val="single"/>
          <w:lang w:val="fr-BE"/>
        </w:rPr>
      </w:pPr>
      <w:r>
        <w:rPr>
          <w:i/>
          <w:u w:val="single"/>
          <w:lang w:val="fr-BE"/>
        </w:rPr>
        <w:t>3</w:t>
      </w:r>
      <w:r w:rsidR="003D7DFA">
        <w:rPr>
          <w:i/>
          <w:u w:val="single"/>
          <w:lang w:val="fr-BE"/>
        </w:rPr>
        <w:t>.1</w:t>
      </w:r>
      <w:r w:rsidR="003D7DFA" w:rsidRPr="003D7DFA">
        <w:rPr>
          <w:i/>
          <w:u w:val="single"/>
          <w:lang w:val="fr-BE"/>
        </w:rPr>
        <w:t xml:space="preserve">. </w:t>
      </w:r>
      <w:r w:rsidR="003D7DFA">
        <w:rPr>
          <w:i/>
          <w:u w:val="single"/>
          <w:lang w:val="fr-BE"/>
        </w:rPr>
        <w:t>Evaluation globale des risques</w:t>
      </w:r>
    </w:p>
    <w:p w14:paraId="457A65A8" w14:textId="01F72270" w:rsidR="003D7DFA" w:rsidRDefault="00AF05A9" w:rsidP="00306C41">
      <w:pPr>
        <w:jc w:val="both"/>
        <w:rPr>
          <w:lang w:val="fr-BE"/>
        </w:rPr>
      </w:pPr>
      <w:r>
        <w:rPr>
          <w:rFonts w:cstheme="minorHAnsi"/>
          <w:b/>
          <w:lang w:val="fr-FR"/>
        </w:rPr>
        <w:t>→</w:t>
      </w:r>
      <w:sdt>
        <w:sdtPr>
          <w:rPr>
            <w:rFonts w:cs="Arial"/>
            <w:b/>
            <w:lang w:val="fr-FR"/>
          </w:rPr>
          <w:id w:val="569238127"/>
          <w14:checkbox>
            <w14:checked w14:val="0"/>
            <w14:checkedState w14:val="2612" w14:font="MS Gothic"/>
            <w14:uncheckedState w14:val="2610" w14:font="MS Gothic"/>
          </w14:checkbox>
        </w:sdtPr>
        <w:sdtEndPr/>
        <w:sdtContent>
          <w:r>
            <w:rPr>
              <w:rFonts w:ascii="MS Gothic" w:eastAsia="MS Gothic" w:hAnsi="MS Gothic" w:cs="Arial" w:hint="eastAsia"/>
              <w:b/>
              <w:lang w:val="fr-FR"/>
            </w:rPr>
            <w:t>☐</w:t>
          </w:r>
        </w:sdtContent>
      </w:sdt>
      <w:r w:rsidR="003D7DFA">
        <w:rPr>
          <w:lang w:val="fr-BE"/>
        </w:rPr>
        <w:t xml:space="preserve"> L’AMLCO s’engage à</w:t>
      </w:r>
      <w:r w:rsidR="00073A58">
        <w:rPr>
          <w:lang w:val="fr-BE"/>
        </w:rPr>
        <w:t xml:space="preserve"> ce que soit</w:t>
      </w:r>
      <w:r w:rsidR="003D7DFA">
        <w:rPr>
          <w:lang w:val="fr-BE"/>
        </w:rPr>
        <w:t xml:space="preserve"> </w:t>
      </w:r>
      <w:r w:rsidR="003D7DFA" w:rsidRPr="00A83945">
        <w:rPr>
          <w:lang w:val="fr-BE"/>
        </w:rPr>
        <w:t>réalis</w:t>
      </w:r>
      <w:r w:rsidR="00895A3C" w:rsidRPr="00A83945">
        <w:rPr>
          <w:lang w:val="fr-BE"/>
        </w:rPr>
        <w:t>ée</w:t>
      </w:r>
      <w:r w:rsidR="00A83945" w:rsidRPr="00A83945">
        <w:rPr>
          <w:lang w:val="fr-BE"/>
        </w:rPr>
        <w:t xml:space="preserve"> sous</w:t>
      </w:r>
      <w:r w:rsidR="00A83945">
        <w:rPr>
          <w:b/>
          <w:lang w:val="fr-BE"/>
        </w:rPr>
        <w:t xml:space="preserve"> </w:t>
      </w:r>
      <w:r w:rsidR="00A83945" w:rsidRPr="00A83945">
        <w:rPr>
          <w:lang w:val="fr-BE"/>
        </w:rPr>
        <w:t>sa responsabilité</w:t>
      </w:r>
      <w:r w:rsidR="00073A58">
        <w:rPr>
          <w:b/>
          <w:lang w:val="fr-BE"/>
        </w:rPr>
        <w:t xml:space="preserve"> </w:t>
      </w:r>
      <w:r w:rsidR="003D7DFA" w:rsidRPr="00772281">
        <w:rPr>
          <w:b/>
          <w:lang w:val="fr-BE"/>
        </w:rPr>
        <w:t>une évaluation globale des risques</w:t>
      </w:r>
      <w:r w:rsidR="003D7DFA">
        <w:rPr>
          <w:lang w:val="fr-BE"/>
        </w:rPr>
        <w:t xml:space="preserve"> </w:t>
      </w:r>
      <w:r w:rsidR="00204FC2">
        <w:rPr>
          <w:lang w:val="fr-BE"/>
        </w:rPr>
        <w:t xml:space="preserve">(« EGR ») </w:t>
      </w:r>
      <w:r w:rsidR="007A54BF">
        <w:rPr>
          <w:lang w:val="fr-BE"/>
        </w:rPr>
        <w:t xml:space="preserve">de BC/FT </w:t>
      </w:r>
      <w:r w:rsidR="003D7DFA">
        <w:rPr>
          <w:lang w:val="fr-BE"/>
        </w:rPr>
        <w:t xml:space="preserve">auxquels </w:t>
      </w:r>
      <w:r w:rsidR="00C35F67">
        <w:rPr>
          <w:lang w:val="fr-BE"/>
        </w:rPr>
        <w:t>l’intermédiaire est exposé</w:t>
      </w:r>
      <w:r w:rsidR="003D7DFA">
        <w:rPr>
          <w:lang w:val="fr-BE"/>
        </w:rPr>
        <w:t>, en réalisant les étapes suivantes :</w:t>
      </w:r>
    </w:p>
    <w:p w14:paraId="039AA644" w14:textId="229C7940" w:rsidR="003D7DFA" w:rsidRPr="000E42F6" w:rsidRDefault="003D7DFA" w:rsidP="00C367A6">
      <w:pPr>
        <w:pStyle w:val="ListParagraph"/>
        <w:numPr>
          <w:ilvl w:val="0"/>
          <w:numId w:val="22"/>
        </w:numPr>
        <w:jc w:val="both"/>
        <w:rPr>
          <w:rFonts w:cstheme="minorHAnsi"/>
          <w:szCs w:val="24"/>
          <w:lang w:val="fr-BE"/>
        </w:rPr>
      </w:pPr>
      <w:r w:rsidRPr="000E42F6">
        <w:rPr>
          <w:rFonts w:cstheme="minorHAnsi"/>
          <w:szCs w:val="24"/>
          <w:lang w:val="fr-BE"/>
        </w:rPr>
        <w:t>l’identification des risques ;</w:t>
      </w:r>
    </w:p>
    <w:p w14:paraId="5EE93613" w14:textId="3C9A7DB3" w:rsidR="003D7DFA" w:rsidRPr="000E42F6" w:rsidRDefault="003D7DFA" w:rsidP="00C367A6">
      <w:pPr>
        <w:pStyle w:val="ListParagraph"/>
        <w:numPr>
          <w:ilvl w:val="0"/>
          <w:numId w:val="22"/>
        </w:numPr>
        <w:jc w:val="both"/>
        <w:rPr>
          <w:rFonts w:cstheme="minorHAnsi"/>
          <w:szCs w:val="24"/>
          <w:lang w:val="fr-BE"/>
        </w:rPr>
      </w:pPr>
      <w:r w:rsidRPr="000E42F6">
        <w:rPr>
          <w:rFonts w:cstheme="minorHAnsi"/>
          <w:szCs w:val="24"/>
          <w:lang w:val="fr-BE"/>
        </w:rPr>
        <w:t>l’évaluation des risques identifiés ;</w:t>
      </w:r>
    </w:p>
    <w:p w14:paraId="33CC59A9" w14:textId="24A52289" w:rsidR="003D7DFA" w:rsidRDefault="003D7DFA" w:rsidP="00C367A6">
      <w:pPr>
        <w:pStyle w:val="ListParagraph"/>
        <w:numPr>
          <w:ilvl w:val="0"/>
          <w:numId w:val="22"/>
        </w:numPr>
        <w:jc w:val="both"/>
        <w:rPr>
          <w:lang w:val="fr-BE"/>
        </w:rPr>
      </w:pPr>
      <w:r w:rsidRPr="000E42F6">
        <w:rPr>
          <w:rFonts w:cstheme="minorHAnsi"/>
          <w:szCs w:val="24"/>
          <w:lang w:val="fr-BE"/>
        </w:rPr>
        <w:t>la définition de</w:t>
      </w:r>
      <w:r w:rsidR="00D021F7" w:rsidRPr="009E4796">
        <w:rPr>
          <w:rFonts w:cstheme="minorHAnsi"/>
          <w:szCs w:val="24"/>
          <w:lang w:val="fr-BE"/>
        </w:rPr>
        <w:t>s</w:t>
      </w:r>
      <w:r w:rsidRPr="009E4796">
        <w:rPr>
          <w:rFonts w:cstheme="minorHAnsi"/>
          <w:szCs w:val="24"/>
          <w:lang w:val="fr-BE"/>
        </w:rPr>
        <w:t xml:space="preserve"> catégories de risques</w:t>
      </w:r>
      <w:r w:rsidR="00073A58">
        <w:rPr>
          <w:rStyle w:val="FootnoteReference"/>
          <w:lang w:val="fr-BE"/>
        </w:rPr>
        <w:footnoteReference w:id="9"/>
      </w:r>
      <w:r>
        <w:rPr>
          <w:lang w:val="fr-BE"/>
        </w:rPr>
        <w:t>.</w:t>
      </w:r>
    </w:p>
    <w:p w14:paraId="0ED37F52" w14:textId="1CB26878" w:rsidR="00073A58" w:rsidRDefault="00073A58" w:rsidP="00073A58">
      <w:pPr>
        <w:jc w:val="both"/>
        <w:rPr>
          <w:lang w:val="fr-BE"/>
        </w:rPr>
      </w:pPr>
      <w:r w:rsidRPr="00073A58">
        <w:rPr>
          <w:lang w:val="fr-BE"/>
        </w:rPr>
        <w:t xml:space="preserve">Cette </w:t>
      </w:r>
      <w:r w:rsidR="00204FC2">
        <w:rPr>
          <w:lang w:val="fr-BE"/>
        </w:rPr>
        <w:t>EGR</w:t>
      </w:r>
      <w:r w:rsidRPr="00073A58">
        <w:rPr>
          <w:lang w:val="fr-BE"/>
        </w:rPr>
        <w:t xml:space="preserve"> doit être tenue à disposition de la FSMA et doit être</w:t>
      </w:r>
      <w:r w:rsidR="0025793B">
        <w:rPr>
          <w:lang w:val="fr-BE"/>
        </w:rPr>
        <w:t xml:space="preserve"> revue et mise à jour, </w:t>
      </w:r>
      <w:r w:rsidR="007A54BF" w:rsidRPr="00073A58">
        <w:rPr>
          <w:lang w:val="fr-BE"/>
        </w:rPr>
        <w:t>au minimum une fo</w:t>
      </w:r>
      <w:r w:rsidR="007A54BF">
        <w:rPr>
          <w:lang w:val="fr-BE"/>
        </w:rPr>
        <w:t xml:space="preserve">is par an </w:t>
      </w:r>
      <w:r w:rsidR="0025793B">
        <w:rPr>
          <w:lang w:val="fr-BE"/>
        </w:rPr>
        <w:t xml:space="preserve">et à </w:t>
      </w:r>
      <w:r w:rsidR="0025793B" w:rsidRPr="0025793B">
        <w:rPr>
          <w:lang w:val="fr-BE"/>
        </w:rPr>
        <w:t>chaque fois que se produit un événement susceptible d’avoir une influence significative sur un ou plusieurs risques de BC/FT auxquels l’</w:t>
      </w:r>
      <w:r w:rsidR="007A54BF">
        <w:rPr>
          <w:lang w:val="fr-BE"/>
        </w:rPr>
        <w:t xml:space="preserve">intermédiaire </w:t>
      </w:r>
      <w:r w:rsidR="0025793B" w:rsidRPr="0025793B">
        <w:rPr>
          <w:lang w:val="fr-BE"/>
        </w:rPr>
        <w:t>est exposé</w:t>
      </w:r>
      <w:r w:rsidR="0025793B">
        <w:rPr>
          <w:lang w:val="fr-BE"/>
        </w:rPr>
        <w:t>.</w:t>
      </w:r>
    </w:p>
    <w:p w14:paraId="59A95A23" w14:textId="1338B9DB" w:rsidR="00286A36" w:rsidRDefault="00286A36" w:rsidP="00286A36">
      <w:pPr>
        <w:jc w:val="both"/>
        <w:rPr>
          <w:lang w:val="fr-BE"/>
        </w:rPr>
      </w:pPr>
      <w:r>
        <w:rPr>
          <w:lang w:val="fr-BE"/>
        </w:rPr>
        <w:t>A</w:t>
      </w:r>
      <w:r w:rsidRPr="008C1718">
        <w:rPr>
          <w:lang w:val="fr-BE"/>
        </w:rPr>
        <w:t xml:space="preserve">fin d’aider les intermédiaires d’assurance à réaliser leur </w:t>
      </w:r>
      <w:r w:rsidR="00AE2515">
        <w:rPr>
          <w:lang w:val="fr-BE"/>
        </w:rPr>
        <w:t>EGR</w:t>
      </w:r>
      <w:r w:rsidRPr="008C1718">
        <w:rPr>
          <w:lang w:val="fr-BE"/>
        </w:rPr>
        <w:t xml:space="preserve">, la FSMA a mis à leur disposition sur son site internet un tableau Excel </w:t>
      </w:r>
      <w:hyperlink r:id="rId9" w:history="1">
        <w:r w:rsidRPr="008C1718">
          <w:rPr>
            <w:rStyle w:val="Hyperlink"/>
            <w:lang w:val="fr-BE"/>
          </w:rPr>
          <w:t>(« </w:t>
        </w:r>
        <w:r w:rsidRPr="008C1718">
          <w:rPr>
            <w:rStyle w:val="Hyperlink"/>
            <w:i/>
            <w:lang w:val="fr-BE"/>
          </w:rPr>
          <w:t>Mon évaluation globale des risques</w:t>
        </w:r>
        <w:r w:rsidRPr="008C1718">
          <w:rPr>
            <w:rStyle w:val="Hyperlink"/>
            <w:lang w:val="fr-BE"/>
          </w:rPr>
          <w:t> »)</w:t>
        </w:r>
      </w:hyperlink>
      <w:r w:rsidRPr="008C1718">
        <w:rPr>
          <w:lang w:val="fr-BE"/>
        </w:rPr>
        <w:t xml:space="preserve"> et un Guide pratique explicatif.</w:t>
      </w:r>
    </w:p>
    <w:p w14:paraId="7CE22A55" w14:textId="4D7D0E76" w:rsidR="00286A36" w:rsidRPr="0025793B" w:rsidRDefault="00286A36" w:rsidP="00073A58">
      <w:pPr>
        <w:jc w:val="both"/>
        <w:rPr>
          <w:lang w:val="fr-BE"/>
        </w:rPr>
      </w:pPr>
    </w:p>
    <w:p w14:paraId="0F59710C" w14:textId="7796845C" w:rsidR="00694ED8" w:rsidRPr="003D7DFA" w:rsidRDefault="000353C9" w:rsidP="00306C41">
      <w:pPr>
        <w:jc w:val="both"/>
        <w:rPr>
          <w:i/>
          <w:u w:val="single"/>
          <w:lang w:val="fr-BE"/>
        </w:rPr>
      </w:pPr>
      <w:r>
        <w:rPr>
          <w:i/>
          <w:u w:val="single"/>
          <w:lang w:val="fr-BE"/>
        </w:rPr>
        <w:t>3</w:t>
      </w:r>
      <w:r w:rsidR="003D7DFA" w:rsidRPr="003D7DFA">
        <w:rPr>
          <w:i/>
          <w:u w:val="single"/>
          <w:lang w:val="fr-BE"/>
        </w:rPr>
        <w:t>.2</w:t>
      </w:r>
      <w:r w:rsidR="00694ED8" w:rsidRPr="003D7DFA">
        <w:rPr>
          <w:i/>
          <w:u w:val="single"/>
          <w:lang w:val="fr-BE"/>
        </w:rPr>
        <w:t xml:space="preserve">. </w:t>
      </w:r>
      <w:r w:rsidR="00204FC2">
        <w:rPr>
          <w:i/>
          <w:u w:val="single"/>
          <w:lang w:val="fr-BE"/>
        </w:rPr>
        <w:t>Définition</w:t>
      </w:r>
      <w:r w:rsidR="00694ED8" w:rsidRPr="003D7DFA">
        <w:rPr>
          <w:i/>
          <w:u w:val="single"/>
          <w:lang w:val="fr-BE"/>
        </w:rPr>
        <w:t xml:space="preserve"> du cadre organisationnel</w:t>
      </w:r>
    </w:p>
    <w:p w14:paraId="43E8943C" w14:textId="79B97D51" w:rsidR="002D7B26" w:rsidRDefault="00AF05A9" w:rsidP="00306C41">
      <w:pPr>
        <w:jc w:val="both"/>
        <w:rPr>
          <w:lang w:val="fr-BE"/>
        </w:rPr>
      </w:pPr>
      <w:r>
        <w:rPr>
          <w:rFonts w:cstheme="minorHAnsi"/>
          <w:b/>
          <w:lang w:val="fr-FR"/>
        </w:rPr>
        <w:t>→</w:t>
      </w:r>
      <w:sdt>
        <w:sdtPr>
          <w:rPr>
            <w:rFonts w:cs="Arial"/>
            <w:b/>
            <w:lang w:val="fr-FR"/>
          </w:rPr>
          <w:id w:val="941341894"/>
          <w14:checkbox>
            <w14:checked w14:val="0"/>
            <w14:checkedState w14:val="2612" w14:font="MS Gothic"/>
            <w14:uncheckedState w14:val="2610" w14:font="MS Gothic"/>
          </w14:checkbox>
        </w:sdtPr>
        <w:sdtEndPr/>
        <w:sdtContent>
          <w:r>
            <w:rPr>
              <w:rFonts w:ascii="MS Gothic" w:eastAsia="MS Gothic" w:hAnsi="MS Gothic" w:cs="Arial" w:hint="eastAsia"/>
              <w:b/>
              <w:lang w:val="fr-FR"/>
            </w:rPr>
            <w:t>☐</w:t>
          </w:r>
        </w:sdtContent>
      </w:sdt>
      <w:r w:rsidR="00694ED8">
        <w:rPr>
          <w:lang w:val="fr-BE"/>
        </w:rPr>
        <w:t xml:space="preserve"> </w:t>
      </w:r>
      <w:r w:rsidR="007E4B5F">
        <w:rPr>
          <w:lang w:val="fr-BE"/>
        </w:rPr>
        <w:t xml:space="preserve">L’AMLCO s’engage à veiller à </w:t>
      </w:r>
      <w:r w:rsidR="003F5BA5">
        <w:rPr>
          <w:lang w:val="fr-BE"/>
        </w:rPr>
        <w:t>la mise en œuvre</w:t>
      </w:r>
      <w:r w:rsidR="007E4B5F">
        <w:rPr>
          <w:lang w:val="fr-BE"/>
        </w:rPr>
        <w:t xml:space="preserve"> </w:t>
      </w:r>
      <w:r w:rsidR="008002D2">
        <w:rPr>
          <w:lang w:val="fr-BE"/>
        </w:rPr>
        <w:t>du</w:t>
      </w:r>
      <w:r w:rsidR="007E4B5F">
        <w:rPr>
          <w:lang w:val="fr-BE"/>
        </w:rPr>
        <w:t xml:space="preserve"> cadre organisationnel de LBC/FT</w:t>
      </w:r>
      <w:r w:rsidR="00073A58">
        <w:rPr>
          <w:rStyle w:val="FootnoteReference"/>
          <w:lang w:val="fr-BE"/>
        </w:rPr>
        <w:footnoteReference w:id="10"/>
      </w:r>
      <w:r w:rsidR="008002D2">
        <w:rPr>
          <w:lang w:val="fr-BE"/>
        </w:rPr>
        <w:t xml:space="preserve">. </w:t>
      </w:r>
    </w:p>
    <w:p w14:paraId="75528770" w14:textId="110D0E16" w:rsidR="00C334B5" w:rsidRDefault="006B7233" w:rsidP="00306C41">
      <w:pPr>
        <w:jc w:val="both"/>
        <w:rPr>
          <w:lang w:val="fr-BE"/>
        </w:rPr>
      </w:pPr>
      <w:r>
        <w:rPr>
          <w:lang w:val="fr-BE"/>
        </w:rPr>
        <w:t>Ce cadre organisationnel comporte :</w:t>
      </w:r>
    </w:p>
    <w:p w14:paraId="5C865A1C" w14:textId="72404BAA" w:rsidR="00FA292B" w:rsidRPr="000E42F6" w:rsidRDefault="00FA292B" w:rsidP="00491EE4">
      <w:pPr>
        <w:pStyle w:val="ListParagraph"/>
        <w:numPr>
          <w:ilvl w:val="0"/>
          <w:numId w:val="24"/>
        </w:numPr>
        <w:ind w:left="720"/>
        <w:jc w:val="both"/>
        <w:rPr>
          <w:lang w:val="fr-BE"/>
        </w:rPr>
      </w:pPr>
      <w:r w:rsidRPr="000E42F6">
        <w:rPr>
          <w:b/>
          <w:lang w:val="fr-BE"/>
        </w:rPr>
        <w:t xml:space="preserve">une politique </w:t>
      </w:r>
      <w:r w:rsidR="00036FE7">
        <w:rPr>
          <w:b/>
          <w:lang w:val="fr-BE"/>
        </w:rPr>
        <w:t xml:space="preserve">de LBC/FT </w:t>
      </w:r>
      <w:r w:rsidR="00036FE7" w:rsidRPr="00457E45">
        <w:rPr>
          <w:lang w:val="fr-BE"/>
        </w:rPr>
        <w:t>concernant notamment</w:t>
      </w:r>
      <w:r w:rsidR="00036FE7">
        <w:rPr>
          <w:b/>
          <w:lang w:val="fr-BE"/>
        </w:rPr>
        <w:t xml:space="preserve"> la gestion des risques de BC/FT et l’acceptation des clients</w:t>
      </w:r>
      <w:r w:rsidR="00457E45">
        <w:rPr>
          <w:b/>
          <w:lang w:val="fr-BE"/>
        </w:rPr>
        <w:t> ;</w:t>
      </w:r>
    </w:p>
    <w:p w14:paraId="0CAEB3D8" w14:textId="095055D0" w:rsidR="00531391" w:rsidRDefault="00FA292B" w:rsidP="00531391">
      <w:pPr>
        <w:pStyle w:val="ListParagraph"/>
        <w:numPr>
          <w:ilvl w:val="0"/>
          <w:numId w:val="22"/>
        </w:numPr>
        <w:ind w:left="720"/>
        <w:jc w:val="both"/>
        <w:rPr>
          <w:lang w:val="fr-BE"/>
        </w:rPr>
      </w:pPr>
      <w:r w:rsidRPr="000E42F6">
        <w:rPr>
          <w:lang w:val="fr-BE"/>
        </w:rPr>
        <w:t xml:space="preserve">des </w:t>
      </w:r>
      <w:r w:rsidRPr="000E42F6">
        <w:rPr>
          <w:b/>
          <w:lang w:val="fr-BE"/>
        </w:rPr>
        <w:t>procédures</w:t>
      </w:r>
      <w:r w:rsidRPr="000E42F6">
        <w:rPr>
          <w:lang w:val="fr-BE"/>
        </w:rPr>
        <w:t xml:space="preserve"> destinées à être appliquées par ses préposés et agents</w:t>
      </w:r>
      <w:r w:rsidR="007E4B5F" w:rsidRPr="000E42F6">
        <w:rPr>
          <w:lang w:val="fr-BE"/>
        </w:rPr>
        <w:t xml:space="preserve">, </w:t>
      </w:r>
      <w:r w:rsidRPr="000E42F6">
        <w:rPr>
          <w:b/>
          <w:lang w:val="fr-BE"/>
        </w:rPr>
        <w:t>couvrant notamment</w:t>
      </w:r>
      <w:r w:rsidR="007E4B5F" w:rsidRPr="000E42F6">
        <w:rPr>
          <w:b/>
          <w:lang w:val="fr-BE"/>
        </w:rPr>
        <w:t xml:space="preserve"> les aspects suivants</w:t>
      </w:r>
      <w:r w:rsidR="007E4B5F" w:rsidRPr="000E42F6">
        <w:rPr>
          <w:lang w:val="fr-BE"/>
        </w:rPr>
        <w:t> :</w:t>
      </w:r>
    </w:p>
    <w:p w14:paraId="15C2BB1F" w14:textId="520A9A01" w:rsidR="00531391" w:rsidRPr="000E42F6" w:rsidRDefault="00531391" w:rsidP="00432163">
      <w:pPr>
        <w:pStyle w:val="ListParagraph"/>
        <w:numPr>
          <w:ilvl w:val="0"/>
          <w:numId w:val="27"/>
        </w:numPr>
        <w:spacing w:after="120" w:line="240" w:lineRule="auto"/>
        <w:jc w:val="both"/>
        <w:rPr>
          <w:lang w:val="fr-BE"/>
        </w:rPr>
      </w:pPr>
      <w:r w:rsidRPr="000E42F6">
        <w:rPr>
          <w:lang w:val="fr-BE"/>
        </w:rPr>
        <w:t>l’évaluation globale des risques</w:t>
      </w:r>
      <w:r w:rsidR="00457E45">
        <w:rPr>
          <w:rStyle w:val="FootnoteReference"/>
          <w:lang w:val="fr-BE"/>
        </w:rPr>
        <w:footnoteReference w:id="11"/>
      </w:r>
      <w:r w:rsidRPr="000E42F6">
        <w:rPr>
          <w:lang w:val="fr-BE"/>
        </w:rPr>
        <w:t xml:space="preserve"> ; </w:t>
      </w:r>
    </w:p>
    <w:p w14:paraId="6A913FA5" w14:textId="77777777" w:rsidR="00531391" w:rsidRPr="000E42F6" w:rsidRDefault="00531391" w:rsidP="00432163">
      <w:pPr>
        <w:pStyle w:val="ListParagraph"/>
        <w:numPr>
          <w:ilvl w:val="0"/>
          <w:numId w:val="27"/>
        </w:numPr>
        <w:spacing w:after="120" w:line="240" w:lineRule="auto"/>
        <w:jc w:val="both"/>
        <w:rPr>
          <w:lang w:val="fr-BE"/>
        </w:rPr>
      </w:pPr>
      <w:r w:rsidRPr="000E42F6">
        <w:rPr>
          <w:lang w:val="fr-BE"/>
        </w:rPr>
        <w:t xml:space="preserve">la mise en œuvre des mesures de vigilance à l’égard de la clientèle et des opérations ; </w:t>
      </w:r>
    </w:p>
    <w:p w14:paraId="61437D4C" w14:textId="073809A4" w:rsidR="00531391" w:rsidRPr="000E42F6" w:rsidRDefault="00531391" w:rsidP="00432163">
      <w:pPr>
        <w:pStyle w:val="ListParagraph"/>
        <w:numPr>
          <w:ilvl w:val="0"/>
          <w:numId w:val="27"/>
        </w:numPr>
        <w:spacing w:after="120" w:line="240" w:lineRule="auto"/>
        <w:jc w:val="both"/>
        <w:rPr>
          <w:lang w:val="fr-BE"/>
        </w:rPr>
      </w:pPr>
      <w:r w:rsidRPr="000E42F6">
        <w:rPr>
          <w:lang w:val="fr-BE"/>
        </w:rPr>
        <w:t xml:space="preserve">la mise en œuvre des obligations visant à assurer le respect des </w:t>
      </w:r>
      <w:r w:rsidR="00097378">
        <w:rPr>
          <w:lang w:val="fr-BE"/>
        </w:rPr>
        <w:t>D</w:t>
      </w:r>
      <w:r w:rsidRPr="000E42F6">
        <w:rPr>
          <w:lang w:val="fr-BE"/>
        </w:rPr>
        <w:t>ispositions contraignantes relatives aux embargos financiers</w:t>
      </w:r>
      <w:r w:rsidR="00E23DCF">
        <w:rPr>
          <w:lang w:val="fr-BE"/>
        </w:rPr>
        <w:t xml:space="preserve"> et au gel des avoirs</w:t>
      </w:r>
      <w:r w:rsidRPr="000E42F6">
        <w:rPr>
          <w:lang w:val="fr-BE"/>
        </w:rPr>
        <w:t xml:space="preserve"> ; </w:t>
      </w:r>
    </w:p>
    <w:p w14:paraId="752ABD13" w14:textId="0BD694C0" w:rsidR="00531391" w:rsidRPr="000E42F6" w:rsidRDefault="00531391" w:rsidP="00432163">
      <w:pPr>
        <w:pStyle w:val="ListParagraph"/>
        <w:numPr>
          <w:ilvl w:val="0"/>
          <w:numId w:val="27"/>
        </w:numPr>
        <w:spacing w:after="120" w:line="240" w:lineRule="auto"/>
        <w:jc w:val="both"/>
        <w:rPr>
          <w:lang w:val="fr-BE"/>
        </w:rPr>
      </w:pPr>
      <w:r w:rsidRPr="000E42F6">
        <w:rPr>
          <w:lang w:val="fr-BE"/>
        </w:rPr>
        <w:t>l’analyse des opérations atypiques et les déclaration</w:t>
      </w:r>
      <w:r w:rsidR="00097378">
        <w:rPr>
          <w:lang w:val="fr-BE"/>
        </w:rPr>
        <w:t>s</w:t>
      </w:r>
      <w:r w:rsidRPr="000E42F6">
        <w:rPr>
          <w:lang w:val="fr-BE"/>
        </w:rPr>
        <w:t xml:space="preserve"> de soupçons</w:t>
      </w:r>
      <w:r w:rsidR="00097378">
        <w:rPr>
          <w:lang w:val="fr-BE"/>
        </w:rPr>
        <w:t xml:space="preserve"> à la CTIF</w:t>
      </w:r>
      <w:r w:rsidRPr="000E42F6">
        <w:rPr>
          <w:lang w:val="fr-BE"/>
        </w:rPr>
        <w:t xml:space="preserve"> ; </w:t>
      </w:r>
    </w:p>
    <w:p w14:paraId="03A47466" w14:textId="77777777" w:rsidR="00531391" w:rsidRPr="000E42F6" w:rsidRDefault="00531391" w:rsidP="00432163">
      <w:pPr>
        <w:pStyle w:val="ListParagraph"/>
        <w:numPr>
          <w:ilvl w:val="0"/>
          <w:numId w:val="27"/>
        </w:numPr>
        <w:spacing w:after="120" w:line="240" w:lineRule="auto"/>
        <w:jc w:val="both"/>
        <w:rPr>
          <w:lang w:val="fr-BE"/>
        </w:rPr>
      </w:pPr>
      <w:r w:rsidRPr="000E42F6">
        <w:rPr>
          <w:lang w:val="fr-BE"/>
        </w:rPr>
        <w:t xml:space="preserve">le cas échéant, le recours à un tiers introducteur ; </w:t>
      </w:r>
    </w:p>
    <w:p w14:paraId="57120F25" w14:textId="77777777" w:rsidR="00531391" w:rsidRPr="000E42F6" w:rsidRDefault="00531391" w:rsidP="00432163">
      <w:pPr>
        <w:pStyle w:val="ListParagraph"/>
        <w:numPr>
          <w:ilvl w:val="0"/>
          <w:numId w:val="27"/>
        </w:numPr>
        <w:spacing w:after="120" w:line="240" w:lineRule="auto"/>
        <w:jc w:val="both"/>
        <w:rPr>
          <w:lang w:val="fr-BE"/>
        </w:rPr>
      </w:pPr>
      <w:r w:rsidRPr="000E42F6">
        <w:rPr>
          <w:lang w:val="fr-BE"/>
        </w:rPr>
        <w:t xml:space="preserve">la conservation des documents et pièces ; et </w:t>
      </w:r>
    </w:p>
    <w:p w14:paraId="204D1EAF" w14:textId="095279A7" w:rsidR="00531391" w:rsidRPr="00531391" w:rsidRDefault="00531391" w:rsidP="00432163">
      <w:pPr>
        <w:pStyle w:val="ListParagraph"/>
        <w:numPr>
          <w:ilvl w:val="0"/>
          <w:numId w:val="27"/>
        </w:numPr>
        <w:spacing w:after="120" w:line="240" w:lineRule="auto"/>
        <w:jc w:val="both"/>
        <w:rPr>
          <w:lang w:val="fr-BE"/>
        </w:rPr>
      </w:pPr>
      <w:r w:rsidRPr="000E42F6">
        <w:rPr>
          <w:lang w:val="fr-BE"/>
        </w:rPr>
        <w:t>les mécanismes de signalement interne (« whistleblowing »).</w:t>
      </w:r>
    </w:p>
    <w:p w14:paraId="50DC6351" w14:textId="748FA8CB" w:rsidR="000F050E" w:rsidRPr="009D2F7C" w:rsidRDefault="00531391" w:rsidP="00457E45">
      <w:pPr>
        <w:pStyle w:val="ListParagraph"/>
        <w:numPr>
          <w:ilvl w:val="0"/>
          <w:numId w:val="22"/>
        </w:numPr>
        <w:ind w:left="720"/>
        <w:jc w:val="both"/>
        <w:rPr>
          <w:lang w:val="fr-BE"/>
        </w:rPr>
      </w:pPr>
      <w:r w:rsidRPr="009D2F7C">
        <w:rPr>
          <w:rFonts w:cstheme="minorHAnsi"/>
          <w:szCs w:val="24"/>
          <w:lang w:val="fr-BE"/>
        </w:rPr>
        <w:t xml:space="preserve">des </w:t>
      </w:r>
      <w:r w:rsidRPr="009D2F7C">
        <w:rPr>
          <w:rFonts w:cstheme="minorHAnsi"/>
          <w:b/>
          <w:szCs w:val="24"/>
          <w:lang w:val="fr-BE"/>
        </w:rPr>
        <w:t>mesures de contrôle internes</w:t>
      </w:r>
      <w:r w:rsidRPr="009D2F7C">
        <w:rPr>
          <w:rFonts w:cstheme="minorHAnsi"/>
          <w:szCs w:val="24"/>
          <w:lang w:val="fr-BE"/>
        </w:rPr>
        <w:t> </w:t>
      </w:r>
      <w:r w:rsidR="002D7B26">
        <w:rPr>
          <w:rFonts w:cstheme="minorHAnsi"/>
          <w:szCs w:val="24"/>
          <w:lang w:val="fr-BE"/>
        </w:rPr>
        <w:t xml:space="preserve">pour </w:t>
      </w:r>
      <w:r w:rsidR="00097378" w:rsidRPr="009D2F7C">
        <w:rPr>
          <w:lang w:val="fr-BE"/>
        </w:rPr>
        <w:t xml:space="preserve">identifier </w:t>
      </w:r>
      <w:r w:rsidR="002D7B26">
        <w:rPr>
          <w:lang w:val="fr-BE"/>
        </w:rPr>
        <w:t xml:space="preserve">et gérer </w:t>
      </w:r>
      <w:r w:rsidR="00097378" w:rsidRPr="009D2F7C">
        <w:rPr>
          <w:lang w:val="fr-BE"/>
        </w:rPr>
        <w:t>les éventuelles faiblesses de son dispositif de LBC/FT</w:t>
      </w:r>
      <w:r w:rsidR="00457E45" w:rsidRPr="009D2F7C">
        <w:rPr>
          <w:rFonts w:cstheme="minorHAnsi"/>
          <w:szCs w:val="24"/>
          <w:lang w:val="fr-BE"/>
        </w:rPr>
        <w:t>.</w:t>
      </w:r>
    </w:p>
    <w:p w14:paraId="017E031F" w14:textId="0472B0E6" w:rsidR="00694ED8" w:rsidRPr="003D7DFA" w:rsidRDefault="000353C9" w:rsidP="00694ED8">
      <w:pPr>
        <w:jc w:val="both"/>
        <w:rPr>
          <w:i/>
          <w:u w:val="single"/>
          <w:lang w:val="fr-BE"/>
        </w:rPr>
      </w:pPr>
      <w:r>
        <w:rPr>
          <w:i/>
          <w:u w:val="single"/>
          <w:lang w:val="fr-BE"/>
        </w:rPr>
        <w:t>3</w:t>
      </w:r>
      <w:r w:rsidR="003D7DFA" w:rsidRPr="003D7DFA">
        <w:rPr>
          <w:i/>
          <w:u w:val="single"/>
          <w:lang w:val="fr-BE"/>
        </w:rPr>
        <w:t>.3</w:t>
      </w:r>
      <w:r w:rsidR="00694ED8" w:rsidRPr="003D7DFA">
        <w:rPr>
          <w:i/>
          <w:u w:val="single"/>
          <w:lang w:val="fr-BE"/>
        </w:rPr>
        <w:t>. Evaluation individuelle des risques</w:t>
      </w:r>
      <w:r w:rsidR="00204FC2">
        <w:rPr>
          <w:i/>
          <w:u w:val="single"/>
          <w:lang w:val="fr-BE"/>
        </w:rPr>
        <w:t xml:space="preserve"> de BC/FT</w:t>
      </w:r>
    </w:p>
    <w:p w14:paraId="5A4A5A88" w14:textId="5839DE43" w:rsidR="00694ED8" w:rsidRDefault="00AF05A9" w:rsidP="00306C41">
      <w:pPr>
        <w:jc w:val="both"/>
        <w:rPr>
          <w:rFonts w:cstheme="minorHAnsi"/>
          <w:szCs w:val="24"/>
          <w:lang w:val="fr-BE"/>
        </w:rPr>
      </w:pPr>
      <w:r>
        <w:rPr>
          <w:rFonts w:cstheme="minorHAnsi"/>
          <w:b/>
          <w:lang w:val="fr-FR"/>
        </w:rPr>
        <w:t>→</w:t>
      </w:r>
      <w:sdt>
        <w:sdtPr>
          <w:rPr>
            <w:rFonts w:cs="Arial"/>
            <w:b/>
            <w:lang w:val="fr-FR"/>
          </w:rPr>
          <w:id w:val="-3976900"/>
          <w14:checkbox>
            <w14:checked w14:val="0"/>
            <w14:checkedState w14:val="2612" w14:font="MS Gothic"/>
            <w14:uncheckedState w14:val="2610" w14:font="MS Gothic"/>
          </w14:checkbox>
        </w:sdtPr>
        <w:sdtEndPr/>
        <w:sdtContent>
          <w:r w:rsidR="00385F0E">
            <w:rPr>
              <w:rFonts w:ascii="MS Gothic" w:eastAsia="MS Gothic" w:hAnsi="MS Gothic" w:cs="Arial" w:hint="eastAsia"/>
              <w:b/>
              <w:lang w:val="fr-FR"/>
            </w:rPr>
            <w:t>☐</w:t>
          </w:r>
        </w:sdtContent>
      </w:sdt>
      <w:r w:rsidR="00694ED8">
        <w:rPr>
          <w:rFonts w:cstheme="minorHAnsi"/>
          <w:szCs w:val="24"/>
          <w:lang w:val="fr-BE"/>
        </w:rPr>
        <w:t xml:space="preserve"> L’AMLCO s’engage à</w:t>
      </w:r>
      <w:r w:rsidR="0058570D">
        <w:rPr>
          <w:rFonts w:cstheme="minorHAnsi"/>
          <w:szCs w:val="24"/>
          <w:lang w:val="fr-BE"/>
        </w:rPr>
        <w:t xml:space="preserve"> veiller à</w:t>
      </w:r>
      <w:r w:rsidR="00694ED8">
        <w:rPr>
          <w:rFonts w:cstheme="minorHAnsi"/>
          <w:szCs w:val="24"/>
          <w:lang w:val="fr-BE"/>
        </w:rPr>
        <w:t xml:space="preserve"> ce que chaque client fasse l’objet d’une </w:t>
      </w:r>
      <w:r w:rsidR="00694ED8" w:rsidRPr="00772281">
        <w:rPr>
          <w:rFonts w:cstheme="minorHAnsi"/>
          <w:b/>
          <w:szCs w:val="24"/>
          <w:lang w:val="fr-BE"/>
        </w:rPr>
        <w:t>évaluation individuelle des risques</w:t>
      </w:r>
      <w:r w:rsidR="00694ED8">
        <w:rPr>
          <w:rFonts w:cstheme="minorHAnsi"/>
          <w:szCs w:val="24"/>
          <w:lang w:val="fr-BE"/>
        </w:rPr>
        <w:t xml:space="preserve"> dont les étapes sont les suivantes :</w:t>
      </w:r>
    </w:p>
    <w:p w14:paraId="717FFBEE" w14:textId="05EF5E02" w:rsidR="00694ED8" w:rsidRDefault="00694ED8" w:rsidP="00491EE4">
      <w:pPr>
        <w:pStyle w:val="ListParagraph"/>
        <w:numPr>
          <w:ilvl w:val="0"/>
          <w:numId w:val="22"/>
        </w:numPr>
        <w:jc w:val="both"/>
        <w:rPr>
          <w:rFonts w:cstheme="minorHAnsi"/>
          <w:szCs w:val="24"/>
          <w:lang w:val="fr-BE"/>
        </w:rPr>
      </w:pPr>
      <w:r>
        <w:rPr>
          <w:rFonts w:cstheme="minorHAnsi"/>
          <w:szCs w:val="24"/>
          <w:lang w:val="fr-BE"/>
        </w:rPr>
        <w:t xml:space="preserve">l’identification des risques liés à </w:t>
      </w:r>
      <w:r w:rsidR="00097378">
        <w:rPr>
          <w:rFonts w:cstheme="minorHAnsi"/>
          <w:szCs w:val="24"/>
          <w:lang w:val="fr-BE"/>
        </w:rPr>
        <w:t xml:space="preserve">chaque </w:t>
      </w:r>
      <w:r>
        <w:rPr>
          <w:rFonts w:cstheme="minorHAnsi"/>
          <w:szCs w:val="24"/>
          <w:lang w:val="fr-BE"/>
        </w:rPr>
        <w:t>client ;</w:t>
      </w:r>
    </w:p>
    <w:p w14:paraId="55F0CDAC" w14:textId="5D728999" w:rsidR="00694ED8" w:rsidRDefault="00694ED8" w:rsidP="00491EE4">
      <w:pPr>
        <w:pStyle w:val="ListParagraph"/>
        <w:numPr>
          <w:ilvl w:val="0"/>
          <w:numId w:val="22"/>
        </w:numPr>
        <w:jc w:val="both"/>
        <w:rPr>
          <w:rFonts w:cstheme="minorHAnsi"/>
          <w:szCs w:val="24"/>
          <w:lang w:val="fr-BE"/>
        </w:rPr>
      </w:pPr>
      <w:r>
        <w:rPr>
          <w:rFonts w:cstheme="minorHAnsi"/>
          <w:szCs w:val="24"/>
          <w:lang w:val="fr-BE"/>
        </w:rPr>
        <w:t xml:space="preserve">l’évaluation des risques identifiés </w:t>
      </w:r>
      <w:r w:rsidR="00097378">
        <w:rPr>
          <w:rFonts w:cstheme="minorHAnsi"/>
          <w:szCs w:val="24"/>
          <w:lang w:val="fr-BE"/>
        </w:rPr>
        <w:t>pour chaque</w:t>
      </w:r>
      <w:r>
        <w:rPr>
          <w:rFonts w:cstheme="minorHAnsi"/>
          <w:szCs w:val="24"/>
          <w:lang w:val="fr-BE"/>
        </w:rPr>
        <w:t xml:space="preserve"> client ;</w:t>
      </w:r>
    </w:p>
    <w:p w14:paraId="6C78A6B6" w14:textId="7D228350" w:rsidR="006F5A82" w:rsidRDefault="00694ED8" w:rsidP="00491EE4">
      <w:pPr>
        <w:pStyle w:val="ListParagraph"/>
        <w:numPr>
          <w:ilvl w:val="0"/>
          <w:numId w:val="22"/>
        </w:numPr>
        <w:jc w:val="both"/>
        <w:rPr>
          <w:rFonts w:cstheme="minorHAnsi"/>
          <w:szCs w:val="24"/>
          <w:lang w:val="fr-BE"/>
        </w:rPr>
      </w:pPr>
      <w:r>
        <w:rPr>
          <w:rFonts w:cstheme="minorHAnsi"/>
          <w:szCs w:val="24"/>
          <w:lang w:val="fr-BE"/>
        </w:rPr>
        <w:t>la classification d</w:t>
      </w:r>
      <w:r w:rsidR="00097378">
        <w:rPr>
          <w:rFonts w:cstheme="minorHAnsi"/>
          <w:szCs w:val="24"/>
          <w:lang w:val="fr-BE"/>
        </w:rPr>
        <w:t>e chaque</w:t>
      </w:r>
      <w:r>
        <w:rPr>
          <w:rFonts w:cstheme="minorHAnsi"/>
          <w:szCs w:val="24"/>
          <w:lang w:val="fr-BE"/>
        </w:rPr>
        <w:t xml:space="preserve"> client dans une catégorie de risques</w:t>
      </w:r>
      <w:r w:rsidR="003D7DFA">
        <w:rPr>
          <w:rFonts w:cstheme="minorHAnsi"/>
          <w:szCs w:val="24"/>
          <w:lang w:val="fr-BE"/>
        </w:rPr>
        <w:t>.</w:t>
      </w:r>
    </w:p>
    <w:p w14:paraId="3ECEF608" w14:textId="1142076D" w:rsidR="009D2F7C" w:rsidRDefault="009D2F7C" w:rsidP="000F050E">
      <w:pPr>
        <w:pStyle w:val="ListParagraph"/>
        <w:ind w:left="1080"/>
        <w:jc w:val="both"/>
        <w:rPr>
          <w:rFonts w:cstheme="minorHAnsi"/>
          <w:szCs w:val="24"/>
          <w:lang w:val="fr-BE"/>
        </w:rPr>
      </w:pPr>
    </w:p>
    <w:p w14:paraId="6BA0955E" w14:textId="5ADB8F9C" w:rsidR="00694ED8" w:rsidRPr="003D7DFA" w:rsidRDefault="000353C9" w:rsidP="00306C41">
      <w:pPr>
        <w:jc w:val="both"/>
        <w:rPr>
          <w:rFonts w:cstheme="minorHAnsi"/>
          <w:i/>
          <w:szCs w:val="24"/>
          <w:u w:val="single"/>
          <w:lang w:val="fr-BE"/>
        </w:rPr>
      </w:pPr>
      <w:r>
        <w:rPr>
          <w:rFonts w:cstheme="minorHAnsi"/>
          <w:i/>
          <w:szCs w:val="24"/>
          <w:u w:val="single"/>
          <w:lang w:val="fr-BE"/>
        </w:rPr>
        <w:t>3</w:t>
      </w:r>
      <w:r w:rsidR="003D7DFA" w:rsidRPr="003D7DFA">
        <w:rPr>
          <w:rFonts w:cstheme="minorHAnsi"/>
          <w:i/>
          <w:szCs w:val="24"/>
          <w:u w:val="single"/>
          <w:lang w:val="fr-BE"/>
        </w:rPr>
        <w:t>.4</w:t>
      </w:r>
      <w:r w:rsidR="00694ED8" w:rsidRPr="003D7DFA">
        <w:rPr>
          <w:rFonts w:cstheme="minorHAnsi"/>
          <w:i/>
          <w:szCs w:val="24"/>
          <w:u w:val="single"/>
          <w:lang w:val="fr-BE"/>
        </w:rPr>
        <w:t xml:space="preserve">. </w:t>
      </w:r>
      <w:r w:rsidR="00204FC2">
        <w:rPr>
          <w:rFonts w:cstheme="minorHAnsi"/>
          <w:i/>
          <w:szCs w:val="24"/>
          <w:u w:val="single"/>
          <w:lang w:val="fr-BE"/>
        </w:rPr>
        <w:t>Application de</w:t>
      </w:r>
      <w:r w:rsidR="00C95F9C">
        <w:rPr>
          <w:rFonts w:cstheme="minorHAnsi"/>
          <w:i/>
          <w:szCs w:val="24"/>
          <w:u w:val="single"/>
          <w:lang w:val="fr-BE"/>
        </w:rPr>
        <w:t>s</w:t>
      </w:r>
      <w:r w:rsidR="00204FC2">
        <w:rPr>
          <w:rFonts w:cstheme="minorHAnsi"/>
          <w:i/>
          <w:szCs w:val="24"/>
          <w:u w:val="single"/>
          <w:lang w:val="fr-BE"/>
        </w:rPr>
        <w:t xml:space="preserve"> m</w:t>
      </w:r>
      <w:r w:rsidR="00694ED8" w:rsidRPr="003D7DFA">
        <w:rPr>
          <w:rFonts w:cstheme="minorHAnsi"/>
          <w:i/>
          <w:szCs w:val="24"/>
          <w:u w:val="single"/>
          <w:lang w:val="fr-BE"/>
        </w:rPr>
        <w:t>esure</w:t>
      </w:r>
      <w:r w:rsidR="003D7DFA" w:rsidRPr="003D7DFA">
        <w:rPr>
          <w:rFonts w:cstheme="minorHAnsi"/>
          <w:i/>
          <w:szCs w:val="24"/>
          <w:u w:val="single"/>
          <w:lang w:val="fr-BE"/>
        </w:rPr>
        <w:t>s</w:t>
      </w:r>
      <w:r w:rsidR="00694ED8" w:rsidRPr="003D7DFA">
        <w:rPr>
          <w:rFonts w:cstheme="minorHAnsi"/>
          <w:i/>
          <w:szCs w:val="24"/>
          <w:u w:val="single"/>
          <w:lang w:val="fr-BE"/>
        </w:rPr>
        <w:t xml:space="preserve"> de vigilance</w:t>
      </w:r>
      <w:r w:rsidR="00204FC2">
        <w:rPr>
          <w:rFonts w:cstheme="minorHAnsi"/>
          <w:i/>
          <w:szCs w:val="24"/>
          <w:u w:val="single"/>
          <w:lang w:val="fr-BE"/>
        </w:rPr>
        <w:t xml:space="preserve"> appropriées</w:t>
      </w:r>
    </w:p>
    <w:p w14:paraId="548753A8" w14:textId="409E68DB" w:rsidR="0044134A" w:rsidRDefault="00AF05A9" w:rsidP="003D7DFA">
      <w:pPr>
        <w:jc w:val="both"/>
        <w:rPr>
          <w:rFonts w:cstheme="minorHAnsi"/>
          <w:szCs w:val="24"/>
          <w:lang w:val="fr-BE"/>
        </w:rPr>
      </w:pPr>
      <w:r>
        <w:rPr>
          <w:rFonts w:cstheme="minorHAnsi"/>
          <w:b/>
          <w:lang w:val="fr-FR"/>
        </w:rPr>
        <w:t>→</w:t>
      </w:r>
      <w:sdt>
        <w:sdtPr>
          <w:rPr>
            <w:rFonts w:cs="Arial"/>
            <w:b/>
            <w:lang w:val="fr-FR"/>
          </w:rPr>
          <w:id w:val="1435712811"/>
          <w14:checkbox>
            <w14:checked w14:val="0"/>
            <w14:checkedState w14:val="2612" w14:font="MS Gothic"/>
            <w14:uncheckedState w14:val="2610" w14:font="MS Gothic"/>
          </w14:checkbox>
        </w:sdtPr>
        <w:sdtEndPr/>
        <w:sdtContent>
          <w:r w:rsidR="00385F0E">
            <w:rPr>
              <w:rFonts w:ascii="MS Gothic" w:eastAsia="MS Gothic" w:hAnsi="MS Gothic" w:cs="Arial" w:hint="eastAsia"/>
              <w:b/>
              <w:lang w:val="fr-FR"/>
            </w:rPr>
            <w:t>☐</w:t>
          </w:r>
        </w:sdtContent>
      </w:sdt>
      <w:r w:rsidR="00694ED8">
        <w:rPr>
          <w:rFonts w:cstheme="minorHAnsi"/>
          <w:szCs w:val="24"/>
          <w:lang w:val="fr-BE"/>
        </w:rPr>
        <w:t xml:space="preserve"> L’AMLCO s’engage à</w:t>
      </w:r>
      <w:r w:rsidR="0058570D">
        <w:rPr>
          <w:rFonts w:cstheme="minorHAnsi"/>
          <w:szCs w:val="24"/>
          <w:lang w:val="fr-BE"/>
        </w:rPr>
        <w:t xml:space="preserve"> veiller à</w:t>
      </w:r>
      <w:r w:rsidR="00694ED8">
        <w:rPr>
          <w:rFonts w:cstheme="minorHAnsi"/>
          <w:szCs w:val="24"/>
          <w:lang w:val="fr-BE"/>
        </w:rPr>
        <w:t xml:space="preserve"> ce que soient appliqué</w:t>
      </w:r>
      <w:r w:rsidR="003D7DFA">
        <w:rPr>
          <w:rFonts w:cstheme="minorHAnsi"/>
          <w:szCs w:val="24"/>
          <w:lang w:val="fr-BE"/>
        </w:rPr>
        <w:t>e</w:t>
      </w:r>
      <w:r w:rsidR="00694ED8">
        <w:rPr>
          <w:rFonts w:cstheme="minorHAnsi"/>
          <w:szCs w:val="24"/>
          <w:lang w:val="fr-BE"/>
        </w:rPr>
        <w:t xml:space="preserve">s </w:t>
      </w:r>
      <w:r w:rsidR="00097378">
        <w:rPr>
          <w:rFonts w:cstheme="minorHAnsi"/>
          <w:szCs w:val="24"/>
          <w:lang w:val="fr-BE"/>
        </w:rPr>
        <w:t xml:space="preserve">à chaque client </w:t>
      </w:r>
      <w:r w:rsidR="00694ED8">
        <w:rPr>
          <w:rFonts w:cstheme="minorHAnsi"/>
          <w:szCs w:val="24"/>
          <w:lang w:val="fr-BE"/>
        </w:rPr>
        <w:t xml:space="preserve">des </w:t>
      </w:r>
      <w:r w:rsidR="00694ED8" w:rsidRPr="00C3128B">
        <w:rPr>
          <w:rFonts w:cstheme="minorHAnsi"/>
          <w:b/>
          <w:szCs w:val="24"/>
          <w:lang w:val="fr-BE"/>
        </w:rPr>
        <w:t>mesures de vigilance</w:t>
      </w:r>
      <w:r w:rsidR="00694ED8">
        <w:rPr>
          <w:rFonts w:cstheme="minorHAnsi"/>
          <w:szCs w:val="24"/>
          <w:lang w:val="fr-BE"/>
        </w:rPr>
        <w:t xml:space="preserve"> correspondant à la catégorie de risques dans laquelle </w:t>
      </w:r>
      <w:r w:rsidR="002D7B26">
        <w:rPr>
          <w:rFonts w:cstheme="minorHAnsi"/>
          <w:szCs w:val="24"/>
          <w:lang w:val="fr-BE"/>
        </w:rPr>
        <w:t>il</w:t>
      </w:r>
      <w:r w:rsidR="00694ED8">
        <w:rPr>
          <w:rFonts w:cstheme="minorHAnsi"/>
          <w:szCs w:val="24"/>
          <w:lang w:val="fr-BE"/>
        </w:rPr>
        <w:t xml:space="preserve"> aura été classé.</w:t>
      </w:r>
    </w:p>
    <w:p w14:paraId="410ED7AE" w14:textId="77777777" w:rsidR="00491EE4" w:rsidRPr="003D7DFA" w:rsidRDefault="00491EE4" w:rsidP="003D7DFA">
      <w:pPr>
        <w:jc w:val="both"/>
        <w:rPr>
          <w:rFonts w:cstheme="minorHAnsi"/>
          <w:szCs w:val="24"/>
          <w:lang w:val="fr-BE"/>
        </w:rPr>
      </w:pPr>
    </w:p>
    <w:p w14:paraId="5EA79C34" w14:textId="14C70966" w:rsidR="00AC47FC" w:rsidRDefault="00FC15D4" w:rsidP="0073393F">
      <w:pPr>
        <w:jc w:val="center"/>
        <w:rPr>
          <w:lang w:val="fr-BE"/>
        </w:rPr>
      </w:pPr>
      <w:r>
        <w:rPr>
          <w:lang w:val="fr-BE"/>
        </w:rPr>
        <w:t>***</w:t>
      </w:r>
    </w:p>
    <w:p w14:paraId="521A94B7" w14:textId="77777777" w:rsidR="00491EE4" w:rsidRDefault="00491EE4" w:rsidP="00F12A28">
      <w:pPr>
        <w:jc w:val="both"/>
        <w:rPr>
          <w:lang w:val="fr-BE"/>
        </w:rPr>
      </w:pPr>
    </w:p>
    <w:p w14:paraId="4BB8E4E7" w14:textId="246DCD57" w:rsidR="00F12A28" w:rsidRPr="00CD2A02" w:rsidRDefault="00753588" w:rsidP="00F12A28">
      <w:pPr>
        <w:jc w:val="both"/>
        <w:rPr>
          <w:lang w:val="fr-BE"/>
        </w:rPr>
      </w:pPr>
      <w:r>
        <w:rPr>
          <w:lang w:val="fr-BE"/>
        </w:rPr>
        <w:t xml:space="preserve">Le présent </w:t>
      </w:r>
      <w:r w:rsidR="000E42F6">
        <w:rPr>
          <w:lang w:val="fr-BE"/>
        </w:rPr>
        <w:t xml:space="preserve">questionnaire </w:t>
      </w:r>
      <w:r w:rsidR="00FA0BB6">
        <w:rPr>
          <w:lang w:val="fr-BE"/>
        </w:rPr>
        <w:t>est</w:t>
      </w:r>
      <w:r>
        <w:rPr>
          <w:lang w:val="fr-BE"/>
        </w:rPr>
        <w:t xml:space="preserve"> signé par </w:t>
      </w:r>
      <w:r w:rsidR="00694ED8">
        <w:rPr>
          <w:lang w:val="fr-BE"/>
        </w:rPr>
        <w:t>le haut dirigeant responsable</w:t>
      </w:r>
      <w:r>
        <w:rPr>
          <w:lang w:val="fr-BE"/>
        </w:rPr>
        <w:t xml:space="preserve"> et par l’AMLCO</w:t>
      </w:r>
      <w:r w:rsidR="00FA0BB6">
        <w:rPr>
          <w:rStyle w:val="FootnoteReference"/>
          <w:lang w:val="fr-BE"/>
        </w:rPr>
        <w:footnoteReference w:id="12"/>
      </w:r>
      <w:r w:rsidR="00491EE4">
        <w:rPr>
          <w:lang w:val="fr-BE"/>
        </w:rPr>
        <w:t xml:space="preserve">. </w:t>
      </w:r>
      <w:r w:rsidR="00484187">
        <w:rPr>
          <w:u w:val="single"/>
          <w:lang w:val="fr-BE"/>
        </w:rPr>
        <w:t>Vérifiez</w:t>
      </w:r>
      <w:r w:rsidR="00491EE4" w:rsidRPr="00306EF3">
        <w:rPr>
          <w:u w:val="single"/>
          <w:lang w:val="fr-BE"/>
        </w:rPr>
        <w:t xml:space="preserve"> que vous avez répondu à toutes les questions et procédé à toutes les déclarations</w:t>
      </w:r>
      <w:r w:rsidR="00491EE4">
        <w:rPr>
          <w:lang w:val="fr-BE"/>
        </w:rPr>
        <w:t>.</w:t>
      </w:r>
    </w:p>
    <w:p w14:paraId="0F324D2F" w14:textId="77777777" w:rsidR="00F12A28" w:rsidRPr="00B60165" w:rsidRDefault="00694ED8" w:rsidP="00B60165">
      <w:pPr>
        <w:tabs>
          <w:tab w:val="left" w:leader="dot" w:pos="8505"/>
        </w:tabs>
        <w:spacing w:after="120"/>
        <w:jc w:val="both"/>
        <w:rPr>
          <w:b/>
          <w:i/>
          <w:u w:val="single"/>
          <w:lang w:val="fr-BE"/>
        </w:rPr>
      </w:pPr>
      <w:r>
        <w:rPr>
          <w:b/>
          <w:i/>
          <w:u w:val="single"/>
          <w:lang w:val="fr-BE"/>
        </w:rPr>
        <w:t>Le haut dirigeant responsable</w:t>
      </w:r>
      <w:r w:rsidR="00753588" w:rsidRPr="00753588">
        <w:rPr>
          <w:b/>
          <w:i/>
          <w:u w:val="single"/>
          <w:lang w:val="fr-BE"/>
        </w:rPr>
        <w:t> :</w:t>
      </w:r>
    </w:p>
    <w:p w14:paraId="17C7C0B2" w14:textId="77777777" w:rsidR="00F12A28" w:rsidRDefault="00321433" w:rsidP="00F12A28">
      <w:pPr>
        <w:jc w:val="both"/>
        <w:rPr>
          <w:lang w:val="fr-BE"/>
        </w:rPr>
      </w:pPr>
      <w:r>
        <w:rPr>
          <w:lang w:val="fr-BE"/>
        </w:rPr>
        <w:t>Date et s</w:t>
      </w:r>
      <w:r w:rsidR="00F12A28" w:rsidRPr="004C2F3E">
        <w:rPr>
          <w:lang w:val="fr-BE"/>
        </w:rPr>
        <w:t>ignature</w:t>
      </w:r>
    </w:p>
    <w:p w14:paraId="65381E1D" w14:textId="1E8ABE6E" w:rsidR="00F12A28" w:rsidRDefault="00F12A28" w:rsidP="00F12A28">
      <w:pPr>
        <w:jc w:val="both"/>
        <w:rPr>
          <w:lang w:val="fr-BE"/>
        </w:rPr>
      </w:pPr>
    </w:p>
    <w:p w14:paraId="34E83A3E" w14:textId="77777777" w:rsidR="00F12A28" w:rsidRPr="004C2F3E" w:rsidRDefault="00F12A28" w:rsidP="00F12A28">
      <w:pPr>
        <w:tabs>
          <w:tab w:val="left" w:leader="dot" w:pos="8505"/>
        </w:tabs>
        <w:jc w:val="both"/>
        <w:rPr>
          <w:lang w:val="fr-BE"/>
        </w:rPr>
      </w:pPr>
      <w:r>
        <w:rPr>
          <w:lang w:val="fr-BE"/>
        </w:rPr>
        <w:tab/>
      </w:r>
    </w:p>
    <w:p w14:paraId="7E0186D3" w14:textId="77777777" w:rsidR="00753588" w:rsidRPr="00753588" w:rsidRDefault="00753588" w:rsidP="00753588">
      <w:pPr>
        <w:tabs>
          <w:tab w:val="left" w:leader="dot" w:pos="8505"/>
        </w:tabs>
        <w:spacing w:after="120"/>
        <w:jc w:val="both"/>
        <w:rPr>
          <w:b/>
          <w:i/>
          <w:u w:val="single"/>
          <w:lang w:val="fr-BE"/>
        </w:rPr>
      </w:pPr>
      <w:r>
        <w:rPr>
          <w:b/>
          <w:i/>
          <w:u w:val="single"/>
          <w:lang w:val="fr-BE"/>
        </w:rPr>
        <w:t>L’AMLCO</w:t>
      </w:r>
      <w:r w:rsidRPr="00753588">
        <w:rPr>
          <w:b/>
          <w:i/>
          <w:u w:val="single"/>
          <w:lang w:val="fr-BE"/>
        </w:rPr>
        <w:t> :</w:t>
      </w:r>
    </w:p>
    <w:p w14:paraId="1B9E5121" w14:textId="77777777" w:rsidR="00753588" w:rsidRDefault="00753588" w:rsidP="00753588">
      <w:pPr>
        <w:jc w:val="both"/>
        <w:rPr>
          <w:lang w:val="fr-BE"/>
        </w:rPr>
      </w:pPr>
    </w:p>
    <w:p w14:paraId="239B17DC" w14:textId="77777777" w:rsidR="00753588" w:rsidRDefault="00321433" w:rsidP="00753588">
      <w:pPr>
        <w:jc w:val="both"/>
        <w:rPr>
          <w:lang w:val="fr-BE"/>
        </w:rPr>
      </w:pPr>
      <w:r>
        <w:rPr>
          <w:lang w:val="fr-BE"/>
        </w:rPr>
        <w:t>Date et s</w:t>
      </w:r>
      <w:r w:rsidR="00753588" w:rsidRPr="004C2F3E">
        <w:rPr>
          <w:lang w:val="fr-BE"/>
        </w:rPr>
        <w:t>ignature</w:t>
      </w:r>
    </w:p>
    <w:p w14:paraId="0FEF2798" w14:textId="77777777" w:rsidR="00753588" w:rsidRDefault="00753588" w:rsidP="00753588">
      <w:pPr>
        <w:jc w:val="both"/>
        <w:rPr>
          <w:lang w:val="fr-BE"/>
        </w:rPr>
      </w:pPr>
    </w:p>
    <w:p w14:paraId="64CEAF6F" w14:textId="25A9426F" w:rsidR="00FE229A" w:rsidRDefault="00D72953" w:rsidP="00C3128B">
      <w:pPr>
        <w:tabs>
          <w:tab w:val="left" w:leader="dot" w:pos="8505"/>
        </w:tabs>
        <w:jc w:val="both"/>
        <w:rPr>
          <w:lang w:val="fr-BE"/>
        </w:rPr>
      </w:pPr>
      <w:r>
        <w:rPr>
          <w:lang w:val="fr-BE"/>
        </w:rPr>
        <w:t>...</w:t>
      </w:r>
      <w:r w:rsidR="00753588">
        <w:rPr>
          <w:lang w:val="fr-BE"/>
        </w:rPr>
        <w:tab/>
      </w:r>
    </w:p>
    <w:p w14:paraId="18715677" w14:textId="77777777" w:rsidR="00FC15D4" w:rsidRDefault="00FC15D4" w:rsidP="00C3128B">
      <w:pPr>
        <w:tabs>
          <w:tab w:val="left" w:leader="dot" w:pos="8505"/>
        </w:tabs>
        <w:jc w:val="both"/>
        <w:rPr>
          <w:lang w:val="fr-BE"/>
        </w:rPr>
      </w:pPr>
    </w:p>
    <w:p w14:paraId="1BE7E584" w14:textId="3F02DF03" w:rsidR="00491EE4" w:rsidRPr="00F12A28" w:rsidRDefault="00365638" w:rsidP="00C3128B">
      <w:pPr>
        <w:pBdr>
          <w:top w:val="single" w:sz="4" w:space="1" w:color="auto"/>
          <w:left w:val="single" w:sz="4" w:space="4" w:color="auto"/>
          <w:bottom w:val="single" w:sz="4" w:space="1" w:color="auto"/>
          <w:right w:val="single" w:sz="4" w:space="4" w:color="auto"/>
        </w:pBdr>
        <w:spacing w:after="120"/>
        <w:jc w:val="both"/>
        <w:rPr>
          <w:lang w:val="fr-BE"/>
        </w:rPr>
      </w:pPr>
      <w:r w:rsidRPr="00DD0D0A">
        <w:rPr>
          <w:lang w:val="fr-BE"/>
        </w:rPr>
        <w:t>La FSMA traitera les données à caractère personnel que vous lui aurez transmises par le biais du présent questionnaire conformément à sa</w:t>
      </w:r>
      <w:r w:rsidR="00491EE4">
        <w:rPr>
          <w:lang w:val="fr-BE"/>
        </w:rPr>
        <w:t xml:space="preserve"> </w:t>
      </w:r>
      <w:hyperlink r:id="rId10" w:history="1">
        <w:r w:rsidR="00491EE4" w:rsidRPr="00491EE4">
          <w:rPr>
            <w:rStyle w:val="Hyperlink"/>
            <w:lang w:val="fr-BE"/>
          </w:rPr>
          <w:t>politique vie privée</w:t>
        </w:r>
      </w:hyperlink>
      <w:r w:rsidR="00491EE4">
        <w:rPr>
          <w:lang w:val="fr-BE"/>
        </w:rPr>
        <w:t>.</w:t>
      </w:r>
    </w:p>
    <w:sectPr w:rsidR="00491EE4" w:rsidRPr="00F12A28" w:rsidSect="002B4F3F">
      <w:headerReference w:type="default" r:id="rId11"/>
      <w:footerReference w:type="default" r:id="rId12"/>
      <w:pgSz w:w="12240" w:h="15840"/>
      <w:pgMar w:top="1134" w:right="1417" w:bottom="567" w:left="1417" w:header="708" w:footer="2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73391" w14:textId="77777777" w:rsidR="00D72953" w:rsidRDefault="00D72953" w:rsidP="00F12A28">
      <w:pPr>
        <w:spacing w:after="0" w:line="240" w:lineRule="auto"/>
      </w:pPr>
      <w:r>
        <w:separator/>
      </w:r>
    </w:p>
  </w:endnote>
  <w:endnote w:type="continuationSeparator" w:id="0">
    <w:p w14:paraId="321B9D56" w14:textId="77777777" w:rsidR="00D72953" w:rsidRDefault="00D72953" w:rsidP="00F1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E623E" w14:textId="0C5A0CF9" w:rsidR="00D72953" w:rsidRDefault="00D72953" w:rsidP="00491EE4">
    <w:pPr>
      <w:pStyle w:val="Footer"/>
      <w:jc w:val="right"/>
      <w:rPr>
        <w:color w:val="5B9BD5" w:themeColor="accent1"/>
      </w:rPr>
    </w:pP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2F526D">
      <w:rPr>
        <w:noProof/>
        <w:color w:val="5B9BD5" w:themeColor="accent1"/>
      </w:rPr>
      <w:t>2</w:t>
    </w:r>
    <w:r>
      <w:rPr>
        <w:color w:val="5B9BD5" w:themeColor="accent1"/>
      </w:rPr>
      <w:fldChar w:fldCharType="end"/>
    </w:r>
    <w:r>
      <w:rPr>
        <w:color w:val="5B9BD5" w:themeColor="accent1"/>
      </w:rPr>
      <w:t>/</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2F526D">
      <w:rPr>
        <w:noProof/>
        <w:color w:val="5B9BD5" w:themeColor="accent1"/>
      </w:rPr>
      <w:t>4</w:t>
    </w:r>
    <w:r>
      <w:rPr>
        <w:color w:val="5B9BD5" w:themeColor="accent1"/>
      </w:rPr>
      <w:fldChar w:fldCharType="end"/>
    </w:r>
  </w:p>
  <w:p w14:paraId="022F52F9" w14:textId="77777777" w:rsidR="00D72953" w:rsidRDefault="00D72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400F6" w14:textId="77777777" w:rsidR="00D72953" w:rsidRDefault="00D72953" w:rsidP="00F12A28">
      <w:pPr>
        <w:spacing w:after="0" w:line="240" w:lineRule="auto"/>
      </w:pPr>
      <w:r>
        <w:separator/>
      </w:r>
    </w:p>
  </w:footnote>
  <w:footnote w:type="continuationSeparator" w:id="0">
    <w:p w14:paraId="4BA5AABB" w14:textId="77777777" w:rsidR="00D72953" w:rsidRDefault="00D72953" w:rsidP="00F12A28">
      <w:pPr>
        <w:spacing w:after="0" w:line="240" w:lineRule="auto"/>
      </w:pPr>
      <w:r>
        <w:continuationSeparator/>
      </w:r>
    </w:p>
  </w:footnote>
  <w:footnote w:id="1">
    <w:p w14:paraId="19F4F67E" w14:textId="77777777" w:rsidR="00D72953" w:rsidRPr="009D2F7C" w:rsidRDefault="00D72953" w:rsidP="009D2F7C">
      <w:pPr>
        <w:pStyle w:val="FootnoteText"/>
        <w:jc w:val="both"/>
        <w:rPr>
          <w:sz w:val="18"/>
          <w:szCs w:val="18"/>
        </w:rPr>
      </w:pPr>
      <w:r w:rsidRPr="006D5B98">
        <w:rPr>
          <w:rStyle w:val="FootnoteReference"/>
          <w:sz w:val="14"/>
          <w:szCs w:val="14"/>
        </w:rPr>
        <w:footnoteRef/>
      </w:r>
      <w:r w:rsidRPr="009D2F7C">
        <w:rPr>
          <w:sz w:val="18"/>
          <w:szCs w:val="18"/>
        </w:rPr>
        <w:t xml:space="preserve"> Loi du 18 septembre 2017 relative à la prévention du blanchiment de capitaux et du financement du terrorisme et à la limitation de l’utilisation des espèces.</w:t>
      </w:r>
    </w:p>
  </w:footnote>
  <w:footnote w:id="2">
    <w:p w14:paraId="2D580FD1" w14:textId="01778173" w:rsidR="00D72953" w:rsidRPr="009D2F7C" w:rsidRDefault="00D72953" w:rsidP="009D2F7C">
      <w:pPr>
        <w:pStyle w:val="FootnoteText"/>
        <w:jc w:val="both"/>
        <w:rPr>
          <w:sz w:val="18"/>
          <w:szCs w:val="18"/>
        </w:rPr>
      </w:pPr>
      <w:r w:rsidRPr="006D5B98">
        <w:rPr>
          <w:rStyle w:val="FootnoteReference"/>
          <w:sz w:val="14"/>
          <w:szCs w:val="14"/>
        </w:rPr>
        <w:footnoteRef/>
      </w:r>
      <w:r w:rsidRPr="009D2F7C">
        <w:rPr>
          <w:sz w:val="18"/>
          <w:szCs w:val="18"/>
        </w:rPr>
        <w:t xml:space="preserve"> L’AMLCO doit répondre aux exigences prévues par l’article 9, §2, al.3 de la loi AML.</w:t>
      </w:r>
    </w:p>
  </w:footnote>
  <w:footnote w:id="3">
    <w:p w14:paraId="26637D20" w14:textId="35270107" w:rsidR="00D72953" w:rsidRPr="009D2F7C" w:rsidRDefault="00D72953" w:rsidP="009D2F7C">
      <w:pPr>
        <w:pStyle w:val="FootnoteText"/>
        <w:jc w:val="both"/>
        <w:rPr>
          <w:sz w:val="18"/>
          <w:szCs w:val="18"/>
        </w:rPr>
      </w:pPr>
      <w:r w:rsidRPr="006D5B98">
        <w:rPr>
          <w:rStyle w:val="FootnoteReference"/>
          <w:sz w:val="14"/>
          <w:szCs w:val="14"/>
        </w:rPr>
        <w:footnoteRef/>
      </w:r>
      <w:r w:rsidRPr="009D2F7C">
        <w:rPr>
          <w:sz w:val="18"/>
          <w:szCs w:val="18"/>
        </w:rPr>
        <w:t xml:space="preserve"> Si l’intermédiaire est une personne morale, le HDR doit être désigné parmi les membres de l’organe légal d’administration. Si un organe de direction effective existe, le HDR doit faire partie de cet organe. Le HDR est la personne responsable, au plus haut niveau, de veiller à la mise en œuvre et au respect de la réglementation en matière de LBC/FT et notamment des Dispositions contraignantes relatives aux embargos financiers.</w:t>
      </w:r>
    </w:p>
  </w:footnote>
  <w:footnote w:id="4">
    <w:p w14:paraId="4C604E92" w14:textId="50E11929" w:rsidR="00D72953" w:rsidRPr="009D2F7C" w:rsidRDefault="00D72953" w:rsidP="009D2F7C">
      <w:pPr>
        <w:pStyle w:val="FootnoteText"/>
        <w:jc w:val="both"/>
        <w:rPr>
          <w:sz w:val="18"/>
          <w:szCs w:val="18"/>
        </w:rPr>
      </w:pPr>
      <w:r w:rsidRPr="006D5B98">
        <w:rPr>
          <w:rStyle w:val="FootnoteReference"/>
          <w:sz w:val="14"/>
          <w:szCs w:val="14"/>
        </w:rPr>
        <w:footnoteRef/>
      </w:r>
      <w:r w:rsidRPr="006D5B98">
        <w:rPr>
          <w:sz w:val="14"/>
          <w:szCs w:val="14"/>
        </w:rPr>
        <w:t xml:space="preserve"> </w:t>
      </w:r>
      <w:r w:rsidRPr="009D2F7C">
        <w:rPr>
          <w:sz w:val="18"/>
          <w:szCs w:val="18"/>
        </w:rPr>
        <w:t>Lorsque cela est justifié pour tenir compte de la nature ou de la taille de l’entité assujettie, notamment quant à sa forme juridique, à sa structure de gestion ou à ses effectifs, la fonction d’AMLCO peut être exercée par le HDR.</w:t>
      </w:r>
    </w:p>
  </w:footnote>
  <w:footnote w:id="5">
    <w:p w14:paraId="2AB138F2" w14:textId="427833BA" w:rsidR="00D72953" w:rsidRPr="009D2F7C" w:rsidRDefault="00D72953" w:rsidP="00484187">
      <w:pPr>
        <w:pStyle w:val="FootnoteText"/>
        <w:jc w:val="both"/>
        <w:rPr>
          <w:sz w:val="18"/>
          <w:szCs w:val="18"/>
          <w:lang w:val="fr-BE"/>
        </w:rPr>
      </w:pPr>
      <w:r w:rsidRPr="006D5B98">
        <w:rPr>
          <w:rStyle w:val="FootnoteReference"/>
          <w:sz w:val="14"/>
          <w:szCs w:val="14"/>
        </w:rPr>
        <w:footnoteRef/>
      </w:r>
      <w:r w:rsidRPr="006D5B98">
        <w:rPr>
          <w:sz w:val="14"/>
          <w:szCs w:val="14"/>
        </w:rPr>
        <w:t xml:space="preserve"> </w:t>
      </w:r>
      <w:r w:rsidRPr="009D2F7C">
        <w:rPr>
          <w:sz w:val="18"/>
          <w:szCs w:val="18"/>
          <w:lang w:val="fr-BE"/>
        </w:rPr>
        <w:t>Au sens de l’article 43, §1</w:t>
      </w:r>
      <w:r w:rsidRPr="009D2F7C">
        <w:rPr>
          <w:sz w:val="18"/>
          <w:szCs w:val="18"/>
          <w:vertAlign w:val="superscript"/>
          <w:lang w:val="fr-BE"/>
        </w:rPr>
        <w:t>er</w:t>
      </w:r>
      <w:r w:rsidRPr="009D2F7C">
        <w:rPr>
          <w:sz w:val="18"/>
          <w:szCs w:val="18"/>
          <w:lang w:val="fr-BE"/>
        </w:rPr>
        <w:t xml:space="preserve"> de la loi AML. Les entités assujetties peuvent recourir à des tiers introducteurs pour l’exécution des obligations de vigilance prévues aux articles 26 à 32, 34 et 35, §1</w:t>
      </w:r>
      <w:r w:rsidRPr="009D2F7C">
        <w:rPr>
          <w:sz w:val="18"/>
          <w:szCs w:val="18"/>
          <w:vertAlign w:val="superscript"/>
          <w:lang w:val="fr-BE"/>
        </w:rPr>
        <w:t>er</w:t>
      </w:r>
      <w:r w:rsidRPr="009D2F7C">
        <w:rPr>
          <w:sz w:val="18"/>
          <w:szCs w:val="18"/>
          <w:lang w:val="fr-BE"/>
        </w:rPr>
        <w:t>, 2° de la loi AML.</w:t>
      </w:r>
    </w:p>
  </w:footnote>
  <w:footnote w:id="6">
    <w:p w14:paraId="5324EE6B" w14:textId="6E2DD945" w:rsidR="00D72953" w:rsidRPr="00C21BC0" w:rsidRDefault="00D72953" w:rsidP="00484187">
      <w:pPr>
        <w:pStyle w:val="FootnoteText"/>
        <w:jc w:val="both"/>
        <w:rPr>
          <w:sz w:val="18"/>
          <w:szCs w:val="18"/>
          <w:lang w:val="fr-BE"/>
        </w:rPr>
      </w:pPr>
      <w:r w:rsidRPr="006D5B98">
        <w:rPr>
          <w:rStyle w:val="FootnoteReference"/>
          <w:sz w:val="14"/>
          <w:szCs w:val="14"/>
        </w:rPr>
        <w:footnoteRef/>
      </w:r>
      <w:r w:rsidRPr="009D2F7C">
        <w:rPr>
          <w:sz w:val="18"/>
          <w:szCs w:val="18"/>
        </w:rPr>
        <w:t xml:space="preserve"> </w:t>
      </w:r>
      <w:r w:rsidRPr="00C21BC0">
        <w:rPr>
          <w:sz w:val="18"/>
          <w:szCs w:val="18"/>
        </w:rPr>
        <w:t>L’intermédiaire doit prendre des mesures lui permettant de s’assurer que les données d’identification recueillies par les tiers introducteurs et les vérifications effectuées lui permettent de respecter les obligations qui lui incombent.</w:t>
      </w:r>
    </w:p>
  </w:footnote>
  <w:footnote w:id="7">
    <w:p w14:paraId="713EA1A8" w14:textId="797FF7DD" w:rsidR="00D72953" w:rsidRPr="0066261A" w:rsidRDefault="00D72953" w:rsidP="00484187">
      <w:pPr>
        <w:pStyle w:val="FootnoteText"/>
        <w:jc w:val="both"/>
        <w:rPr>
          <w:lang w:val="fr-BE"/>
        </w:rPr>
      </w:pPr>
      <w:r w:rsidRPr="007B26AD">
        <w:rPr>
          <w:rStyle w:val="FootnoteReference"/>
          <w:sz w:val="14"/>
          <w:szCs w:val="14"/>
        </w:rPr>
        <w:footnoteRef/>
      </w:r>
      <w:r w:rsidRPr="007B26AD">
        <w:rPr>
          <w:sz w:val="14"/>
          <w:szCs w:val="14"/>
        </w:rPr>
        <w:t xml:space="preserve"> </w:t>
      </w:r>
      <w:r w:rsidRPr="007B26AD">
        <w:rPr>
          <w:sz w:val="18"/>
          <w:szCs w:val="18"/>
          <w:lang w:val="fr-BE"/>
        </w:rPr>
        <w:t>Et le cas échéant</w:t>
      </w:r>
      <w:r w:rsidRPr="007B26AD">
        <w:rPr>
          <w:sz w:val="18"/>
          <w:szCs w:val="18"/>
        </w:rPr>
        <w:t xml:space="preserve"> </w:t>
      </w:r>
      <w:r w:rsidRPr="007B26AD">
        <w:rPr>
          <w:sz w:val="18"/>
          <w:szCs w:val="18"/>
          <w:lang w:val="fr-BE"/>
        </w:rPr>
        <w:t>de ses mandataires et bénéficiaires effectifs.</w:t>
      </w:r>
    </w:p>
  </w:footnote>
  <w:footnote w:id="8">
    <w:p w14:paraId="4AC64493" w14:textId="165D19CF" w:rsidR="009D6451" w:rsidRPr="009D6451" w:rsidRDefault="009D6451" w:rsidP="00484187">
      <w:pPr>
        <w:pStyle w:val="FootnoteText"/>
        <w:jc w:val="both"/>
      </w:pPr>
      <w:r w:rsidRPr="009D6451">
        <w:rPr>
          <w:rStyle w:val="FootnoteReference"/>
          <w:sz w:val="14"/>
          <w:szCs w:val="14"/>
        </w:rPr>
        <w:footnoteRef/>
      </w:r>
      <w:r>
        <w:t xml:space="preserve"> </w:t>
      </w:r>
      <w:r w:rsidRPr="009D6451">
        <w:rPr>
          <w:sz w:val="18"/>
          <w:szCs w:val="18"/>
        </w:rPr>
        <w:t>Non applicable aux courtiers en services bancaires et en services d’investissement.</w:t>
      </w:r>
    </w:p>
  </w:footnote>
  <w:footnote w:id="9">
    <w:p w14:paraId="26AD0F89" w14:textId="77777777" w:rsidR="00D72953" w:rsidRPr="009D2F7C" w:rsidRDefault="00D72953" w:rsidP="009D2F7C">
      <w:pPr>
        <w:pStyle w:val="FootnoteText"/>
        <w:jc w:val="both"/>
        <w:rPr>
          <w:sz w:val="18"/>
          <w:szCs w:val="18"/>
        </w:rPr>
      </w:pPr>
      <w:r w:rsidRPr="006D5B98">
        <w:rPr>
          <w:rStyle w:val="FootnoteReference"/>
          <w:sz w:val="14"/>
          <w:szCs w:val="14"/>
        </w:rPr>
        <w:footnoteRef/>
      </w:r>
      <w:r w:rsidRPr="006D5B98">
        <w:rPr>
          <w:sz w:val="14"/>
          <w:szCs w:val="14"/>
        </w:rPr>
        <w:t xml:space="preserve"> </w:t>
      </w:r>
      <w:r w:rsidRPr="009D2F7C">
        <w:rPr>
          <w:sz w:val="18"/>
          <w:szCs w:val="18"/>
        </w:rPr>
        <w:t>L’EGR doit être réalisée :</w:t>
      </w:r>
    </w:p>
    <w:p w14:paraId="5839AF4B" w14:textId="77777777" w:rsidR="00D72953" w:rsidRPr="009D2F7C" w:rsidRDefault="00D72953" w:rsidP="009D2F7C">
      <w:pPr>
        <w:pStyle w:val="FootnoteText"/>
        <w:ind w:left="568"/>
        <w:jc w:val="both"/>
        <w:rPr>
          <w:sz w:val="18"/>
          <w:szCs w:val="18"/>
        </w:rPr>
      </w:pPr>
      <w:r w:rsidRPr="009D2F7C">
        <w:rPr>
          <w:sz w:val="18"/>
          <w:szCs w:val="18"/>
        </w:rPr>
        <w:t>- lorsque l’entité est une personne morale, sous la responsabilité de la personne exerçant la fonction d’AMLCO et approuvée par la direction effective ;</w:t>
      </w:r>
    </w:p>
    <w:p w14:paraId="57B8DCB3" w14:textId="3668E049" w:rsidR="00D72953" w:rsidRPr="009D2F7C" w:rsidRDefault="00D72953" w:rsidP="009D2F7C">
      <w:pPr>
        <w:pStyle w:val="FootnoteText"/>
        <w:ind w:left="568"/>
        <w:jc w:val="both"/>
        <w:rPr>
          <w:sz w:val="18"/>
          <w:szCs w:val="18"/>
        </w:rPr>
      </w:pPr>
      <w:r w:rsidRPr="009D2F7C">
        <w:rPr>
          <w:sz w:val="18"/>
          <w:szCs w:val="18"/>
        </w:rPr>
        <w:t xml:space="preserve">- lorsque l’entité est une personne physique, sous la responsabilité de la personne exerçant la fonction d’AMLCO et, si cette </w:t>
      </w:r>
      <w:r>
        <w:rPr>
          <w:sz w:val="18"/>
          <w:szCs w:val="18"/>
        </w:rPr>
        <w:t>personne</w:t>
      </w:r>
      <w:r w:rsidRPr="009D2F7C">
        <w:rPr>
          <w:sz w:val="18"/>
          <w:szCs w:val="18"/>
        </w:rPr>
        <w:t xml:space="preserve"> n’est pas l’entité assujettie, approuvée par cette dernière.</w:t>
      </w:r>
    </w:p>
  </w:footnote>
  <w:footnote w:id="10">
    <w:p w14:paraId="1BEEE630" w14:textId="5649B8A3" w:rsidR="00D72953" w:rsidRPr="009D2F7C" w:rsidRDefault="00D72953" w:rsidP="009D2F7C">
      <w:pPr>
        <w:pStyle w:val="FootnoteText"/>
        <w:jc w:val="both"/>
        <w:rPr>
          <w:sz w:val="18"/>
          <w:szCs w:val="18"/>
        </w:rPr>
      </w:pPr>
      <w:r w:rsidRPr="006D5B98">
        <w:rPr>
          <w:rStyle w:val="FootnoteReference"/>
          <w:sz w:val="14"/>
          <w:szCs w:val="14"/>
        </w:rPr>
        <w:footnoteRef/>
      </w:r>
      <w:r w:rsidRPr="006D5B98">
        <w:rPr>
          <w:sz w:val="14"/>
          <w:szCs w:val="14"/>
        </w:rPr>
        <w:t xml:space="preserve"> </w:t>
      </w:r>
      <w:r w:rsidRPr="009D2F7C">
        <w:rPr>
          <w:sz w:val="18"/>
          <w:szCs w:val="18"/>
        </w:rPr>
        <w:t>Les politiques, procédures et mesures de contrôle interne doivent être soumises à l’approbation d’un membre d’un niveau élevé de la hiérarchie de l’intermédiaire.</w:t>
      </w:r>
    </w:p>
  </w:footnote>
  <w:footnote w:id="11">
    <w:p w14:paraId="7BC2F798" w14:textId="6EC188FF" w:rsidR="00D72953" w:rsidRPr="009D2F7C" w:rsidRDefault="00D72953" w:rsidP="009D2F7C">
      <w:pPr>
        <w:pStyle w:val="FootnoteText"/>
        <w:jc w:val="both"/>
        <w:rPr>
          <w:sz w:val="18"/>
          <w:szCs w:val="18"/>
        </w:rPr>
      </w:pPr>
      <w:r w:rsidRPr="006D5B98">
        <w:rPr>
          <w:rStyle w:val="FootnoteReference"/>
          <w:sz w:val="14"/>
          <w:szCs w:val="14"/>
        </w:rPr>
        <w:footnoteRef/>
      </w:r>
      <w:r w:rsidRPr="006D5B98">
        <w:rPr>
          <w:sz w:val="14"/>
          <w:szCs w:val="14"/>
        </w:rPr>
        <w:t xml:space="preserve"> </w:t>
      </w:r>
      <w:r w:rsidRPr="006D5B98">
        <w:rPr>
          <w:sz w:val="18"/>
          <w:szCs w:val="18"/>
        </w:rPr>
        <w:t>Les intermédiaires qui utilisent le Guide pratique et le tableau « Mon évaluation globale des risques » sont dispensés de procédure couvrant l’évaluation globale des risques, sauf en ce qui concerne les règles relatives à son approbation et à sa mise à jour.</w:t>
      </w:r>
    </w:p>
  </w:footnote>
  <w:footnote w:id="12">
    <w:p w14:paraId="51C3F0F1" w14:textId="77777777" w:rsidR="00D72953" w:rsidRPr="009D2F7C" w:rsidRDefault="00D72953" w:rsidP="009D2F7C">
      <w:pPr>
        <w:pStyle w:val="FootnoteText"/>
        <w:jc w:val="both"/>
        <w:rPr>
          <w:sz w:val="18"/>
          <w:szCs w:val="18"/>
          <w:lang w:val="fr-BE"/>
        </w:rPr>
      </w:pPr>
      <w:r w:rsidRPr="00C21BC0">
        <w:rPr>
          <w:rStyle w:val="FootnoteReference"/>
          <w:sz w:val="14"/>
          <w:szCs w:val="14"/>
        </w:rPr>
        <w:footnoteRef/>
      </w:r>
      <w:r w:rsidRPr="00C21BC0">
        <w:rPr>
          <w:sz w:val="14"/>
          <w:szCs w:val="14"/>
        </w:rPr>
        <w:t xml:space="preserve"> </w:t>
      </w:r>
      <w:r w:rsidRPr="009D2F7C">
        <w:rPr>
          <w:sz w:val="18"/>
          <w:szCs w:val="18"/>
          <w:lang w:val="fr-BE"/>
        </w:rPr>
        <w:t>S’il s’agit de la même personne, veuillez procéder à une double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B05E" w14:textId="156EEBEE" w:rsidR="00D72953" w:rsidRPr="00F12A28" w:rsidRDefault="00D72953" w:rsidP="00F12A28">
    <w:pPr>
      <w:pStyle w:val="Header"/>
      <w:jc w:val="right"/>
      <w:rPr>
        <w:sz w:val="18"/>
        <w:lang w:val="nl-BE"/>
      </w:rPr>
    </w:pPr>
    <w:r>
      <w:rPr>
        <w:sz w:val="18"/>
        <w:lang w:val="nl-BE"/>
      </w:rPr>
      <w:t>v.</w:t>
    </w:r>
    <w:r w:rsidR="007B26AD">
      <w:rPr>
        <w:sz w:val="18"/>
        <w:lang w:val="nl-BE"/>
      </w:rPr>
      <w:t>01-2021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7D3D"/>
    <w:multiLevelType w:val="multilevel"/>
    <w:tmpl w:val="CE38DA74"/>
    <w:lvl w:ilvl="0">
      <w:start w:val="1"/>
      <w:numFmt w:val="decimal"/>
      <w:lvlText w:val="%1"/>
      <w:lvlJc w:val="left"/>
      <w:pPr>
        <w:ind w:left="360" w:hanging="360"/>
      </w:pPr>
      <w:rPr>
        <w:rFonts w:eastAsiaTheme="minorHAnsi" w:hint="default"/>
      </w:rPr>
    </w:lvl>
    <w:lvl w:ilvl="1">
      <w:start w:val="4"/>
      <w:numFmt w:val="decimal"/>
      <w:lvlText w:val="%1.%2"/>
      <w:lvlJc w:val="left"/>
      <w:pPr>
        <w:ind w:left="1440" w:hanging="360"/>
      </w:pPr>
      <w:rPr>
        <w:rFonts w:eastAsiaTheme="minorHAnsi" w:hint="default"/>
      </w:rPr>
    </w:lvl>
    <w:lvl w:ilvl="2">
      <w:start w:val="1"/>
      <w:numFmt w:val="decimal"/>
      <w:lvlText w:val="%1.%2.%3"/>
      <w:lvlJc w:val="left"/>
      <w:pPr>
        <w:ind w:left="2880" w:hanging="720"/>
      </w:pPr>
      <w:rPr>
        <w:rFonts w:eastAsiaTheme="minorHAnsi" w:hint="default"/>
      </w:rPr>
    </w:lvl>
    <w:lvl w:ilvl="3">
      <w:start w:val="1"/>
      <w:numFmt w:val="decimal"/>
      <w:lvlText w:val="%1.%2.%3.%4"/>
      <w:lvlJc w:val="left"/>
      <w:pPr>
        <w:ind w:left="3960" w:hanging="720"/>
      </w:pPr>
      <w:rPr>
        <w:rFonts w:eastAsiaTheme="minorHAnsi" w:hint="default"/>
      </w:rPr>
    </w:lvl>
    <w:lvl w:ilvl="4">
      <w:start w:val="1"/>
      <w:numFmt w:val="decimal"/>
      <w:lvlText w:val="%1.%2.%3.%4.%5"/>
      <w:lvlJc w:val="left"/>
      <w:pPr>
        <w:ind w:left="5400" w:hanging="1080"/>
      </w:pPr>
      <w:rPr>
        <w:rFonts w:eastAsiaTheme="minorHAnsi" w:hint="default"/>
      </w:rPr>
    </w:lvl>
    <w:lvl w:ilvl="5">
      <w:start w:val="1"/>
      <w:numFmt w:val="decimal"/>
      <w:lvlText w:val="%1.%2.%3.%4.%5.%6"/>
      <w:lvlJc w:val="left"/>
      <w:pPr>
        <w:ind w:left="6480" w:hanging="1080"/>
      </w:pPr>
      <w:rPr>
        <w:rFonts w:eastAsiaTheme="minorHAnsi" w:hint="default"/>
      </w:rPr>
    </w:lvl>
    <w:lvl w:ilvl="6">
      <w:start w:val="1"/>
      <w:numFmt w:val="decimal"/>
      <w:lvlText w:val="%1.%2.%3.%4.%5.%6.%7"/>
      <w:lvlJc w:val="left"/>
      <w:pPr>
        <w:ind w:left="7560" w:hanging="1080"/>
      </w:pPr>
      <w:rPr>
        <w:rFonts w:eastAsiaTheme="minorHAnsi" w:hint="default"/>
      </w:rPr>
    </w:lvl>
    <w:lvl w:ilvl="7">
      <w:start w:val="1"/>
      <w:numFmt w:val="decimal"/>
      <w:lvlText w:val="%1.%2.%3.%4.%5.%6.%7.%8"/>
      <w:lvlJc w:val="left"/>
      <w:pPr>
        <w:ind w:left="9000" w:hanging="1440"/>
      </w:pPr>
      <w:rPr>
        <w:rFonts w:eastAsiaTheme="minorHAnsi" w:hint="default"/>
      </w:rPr>
    </w:lvl>
    <w:lvl w:ilvl="8">
      <w:start w:val="1"/>
      <w:numFmt w:val="decimal"/>
      <w:lvlText w:val="%1.%2.%3.%4.%5.%6.%7.%8.%9"/>
      <w:lvlJc w:val="left"/>
      <w:pPr>
        <w:ind w:left="10080" w:hanging="1440"/>
      </w:pPr>
      <w:rPr>
        <w:rFonts w:eastAsiaTheme="minorHAnsi" w:hint="default"/>
      </w:rPr>
    </w:lvl>
  </w:abstractNum>
  <w:abstractNum w:abstractNumId="1" w15:restartNumberingAfterBreak="0">
    <w:nsid w:val="024548B9"/>
    <w:multiLevelType w:val="hybridMultilevel"/>
    <w:tmpl w:val="D0DAC634"/>
    <w:lvl w:ilvl="0" w:tplc="8BB2C59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A285057"/>
    <w:multiLevelType w:val="hybridMultilevel"/>
    <w:tmpl w:val="A8CC395A"/>
    <w:lvl w:ilvl="0" w:tplc="8B98AFF8">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122A53"/>
    <w:multiLevelType w:val="hybridMultilevel"/>
    <w:tmpl w:val="8AB25B30"/>
    <w:lvl w:ilvl="0" w:tplc="E61E8B7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098517B"/>
    <w:multiLevelType w:val="hybridMultilevel"/>
    <w:tmpl w:val="5792E3E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5" w15:restartNumberingAfterBreak="0">
    <w:nsid w:val="12A45AF1"/>
    <w:multiLevelType w:val="hybridMultilevel"/>
    <w:tmpl w:val="43B29740"/>
    <w:lvl w:ilvl="0" w:tplc="AF98FF36">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2B86123"/>
    <w:multiLevelType w:val="hybridMultilevel"/>
    <w:tmpl w:val="D11A5E2A"/>
    <w:lvl w:ilvl="0" w:tplc="694C1A92">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3D508F4"/>
    <w:multiLevelType w:val="multilevel"/>
    <w:tmpl w:val="333A9CD8"/>
    <w:lvl w:ilvl="0">
      <w:start w:val="1"/>
      <w:numFmt w:val="decimal"/>
      <w:lvlText w:val="%1"/>
      <w:lvlJc w:val="left"/>
      <w:pPr>
        <w:ind w:left="360" w:hanging="360"/>
      </w:pPr>
      <w:rPr>
        <w:rFonts w:eastAsiaTheme="minorHAnsi" w:hint="default"/>
      </w:rPr>
    </w:lvl>
    <w:lvl w:ilvl="1">
      <w:start w:val="4"/>
      <w:numFmt w:val="decimal"/>
      <w:lvlText w:val="%1.%2"/>
      <w:lvlJc w:val="left"/>
      <w:pPr>
        <w:ind w:left="72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240" w:hanging="108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320" w:hanging="1440"/>
      </w:pPr>
      <w:rPr>
        <w:rFonts w:eastAsiaTheme="minorHAnsi" w:hint="default"/>
      </w:rPr>
    </w:lvl>
  </w:abstractNum>
  <w:abstractNum w:abstractNumId="8" w15:restartNumberingAfterBreak="0">
    <w:nsid w:val="17FF54C0"/>
    <w:multiLevelType w:val="hybridMultilevel"/>
    <w:tmpl w:val="8BE657AC"/>
    <w:lvl w:ilvl="0" w:tplc="02084D5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B4F4D87"/>
    <w:multiLevelType w:val="hybridMultilevel"/>
    <w:tmpl w:val="F6DAAB26"/>
    <w:lvl w:ilvl="0" w:tplc="479A6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017EA"/>
    <w:multiLevelType w:val="hybridMultilevel"/>
    <w:tmpl w:val="520AE212"/>
    <w:lvl w:ilvl="0" w:tplc="080C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973641C"/>
    <w:multiLevelType w:val="hybridMultilevel"/>
    <w:tmpl w:val="91B6587A"/>
    <w:lvl w:ilvl="0" w:tplc="08130003">
      <w:start w:val="1"/>
      <w:numFmt w:val="bullet"/>
      <w:lvlText w:val="o"/>
      <w:lvlJc w:val="left"/>
      <w:pPr>
        <w:ind w:left="1440" w:hanging="360"/>
      </w:pPr>
      <w:rPr>
        <w:rFonts w:ascii="Courier New" w:hAnsi="Courier New" w:cs="Courier New"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2" w15:restartNumberingAfterBreak="0">
    <w:nsid w:val="30F85DD2"/>
    <w:multiLevelType w:val="multilevel"/>
    <w:tmpl w:val="23AAA39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70E4478"/>
    <w:multiLevelType w:val="hybridMultilevel"/>
    <w:tmpl w:val="E97A6B0A"/>
    <w:lvl w:ilvl="0" w:tplc="080C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4" w15:restartNumberingAfterBreak="0">
    <w:nsid w:val="372C4410"/>
    <w:multiLevelType w:val="multilevel"/>
    <w:tmpl w:val="9AA8BE92"/>
    <w:lvl w:ilvl="0">
      <w:start w:val="1"/>
      <w:numFmt w:val="decimal"/>
      <w:lvlText w:val="%1"/>
      <w:lvlJc w:val="left"/>
      <w:pPr>
        <w:ind w:left="360" w:hanging="360"/>
      </w:pPr>
      <w:rPr>
        <w:rFonts w:eastAsiaTheme="minorHAnsi" w:hint="default"/>
      </w:rPr>
    </w:lvl>
    <w:lvl w:ilvl="1">
      <w:start w:val="3"/>
      <w:numFmt w:val="decimal"/>
      <w:lvlText w:val="%1.%2"/>
      <w:lvlJc w:val="left"/>
      <w:pPr>
        <w:ind w:left="1080" w:hanging="360"/>
      </w:pPr>
      <w:rPr>
        <w:rFonts w:eastAsiaTheme="minorHAnsi" w:hint="default"/>
      </w:rPr>
    </w:lvl>
    <w:lvl w:ilvl="2">
      <w:start w:val="1"/>
      <w:numFmt w:val="decimal"/>
      <w:lvlText w:val="%1.%2.%3"/>
      <w:lvlJc w:val="left"/>
      <w:pPr>
        <w:ind w:left="2160" w:hanging="720"/>
      </w:pPr>
      <w:rPr>
        <w:rFonts w:eastAsiaTheme="minorHAnsi" w:hint="default"/>
      </w:rPr>
    </w:lvl>
    <w:lvl w:ilvl="3">
      <w:start w:val="1"/>
      <w:numFmt w:val="decimal"/>
      <w:lvlText w:val="%1.%2.%3.%4"/>
      <w:lvlJc w:val="left"/>
      <w:pPr>
        <w:ind w:left="2880" w:hanging="720"/>
      </w:pPr>
      <w:rPr>
        <w:rFonts w:eastAsiaTheme="minorHAnsi" w:hint="default"/>
      </w:rPr>
    </w:lvl>
    <w:lvl w:ilvl="4">
      <w:start w:val="1"/>
      <w:numFmt w:val="decimal"/>
      <w:lvlText w:val="%1.%2.%3.%4.%5"/>
      <w:lvlJc w:val="left"/>
      <w:pPr>
        <w:ind w:left="3960" w:hanging="1080"/>
      </w:pPr>
      <w:rPr>
        <w:rFonts w:eastAsiaTheme="minorHAnsi" w:hint="default"/>
      </w:rPr>
    </w:lvl>
    <w:lvl w:ilvl="5">
      <w:start w:val="1"/>
      <w:numFmt w:val="decimal"/>
      <w:lvlText w:val="%1.%2.%3.%4.%5.%6"/>
      <w:lvlJc w:val="left"/>
      <w:pPr>
        <w:ind w:left="4680" w:hanging="1080"/>
      </w:pPr>
      <w:rPr>
        <w:rFonts w:eastAsiaTheme="minorHAnsi" w:hint="default"/>
      </w:rPr>
    </w:lvl>
    <w:lvl w:ilvl="6">
      <w:start w:val="1"/>
      <w:numFmt w:val="decimal"/>
      <w:lvlText w:val="%1.%2.%3.%4.%5.%6.%7"/>
      <w:lvlJc w:val="left"/>
      <w:pPr>
        <w:ind w:left="5400" w:hanging="1080"/>
      </w:pPr>
      <w:rPr>
        <w:rFonts w:eastAsiaTheme="minorHAnsi" w:hint="default"/>
      </w:rPr>
    </w:lvl>
    <w:lvl w:ilvl="7">
      <w:start w:val="1"/>
      <w:numFmt w:val="decimal"/>
      <w:lvlText w:val="%1.%2.%3.%4.%5.%6.%7.%8"/>
      <w:lvlJc w:val="left"/>
      <w:pPr>
        <w:ind w:left="6480" w:hanging="1440"/>
      </w:pPr>
      <w:rPr>
        <w:rFonts w:eastAsiaTheme="minorHAnsi" w:hint="default"/>
      </w:rPr>
    </w:lvl>
    <w:lvl w:ilvl="8">
      <w:start w:val="1"/>
      <w:numFmt w:val="decimal"/>
      <w:lvlText w:val="%1.%2.%3.%4.%5.%6.%7.%8.%9"/>
      <w:lvlJc w:val="left"/>
      <w:pPr>
        <w:ind w:left="7200" w:hanging="1440"/>
      </w:pPr>
      <w:rPr>
        <w:rFonts w:eastAsiaTheme="minorHAnsi" w:hint="default"/>
      </w:rPr>
    </w:lvl>
  </w:abstractNum>
  <w:abstractNum w:abstractNumId="15" w15:restartNumberingAfterBreak="0">
    <w:nsid w:val="3E866CC9"/>
    <w:multiLevelType w:val="hybridMultilevel"/>
    <w:tmpl w:val="EF24DCF8"/>
    <w:lvl w:ilvl="0" w:tplc="3CB456EE">
      <w:start w:val="1"/>
      <w:numFmt w:val="decimal"/>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1BC0DE6"/>
    <w:multiLevelType w:val="hybridMultilevel"/>
    <w:tmpl w:val="224AC54C"/>
    <w:lvl w:ilvl="0" w:tplc="1012D4EC">
      <w:start w:val="3"/>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885536B"/>
    <w:multiLevelType w:val="hybridMultilevel"/>
    <w:tmpl w:val="06BEF5D2"/>
    <w:lvl w:ilvl="0" w:tplc="080C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8" w15:restartNumberingAfterBreak="0">
    <w:nsid w:val="4F164BD1"/>
    <w:multiLevelType w:val="hybridMultilevel"/>
    <w:tmpl w:val="CE5C3F4C"/>
    <w:lvl w:ilvl="0" w:tplc="2B54B6D6">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4F7614E2"/>
    <w:multiLevelType w:val="hybridMultilevel"/>
    <w:tmpl w:val="BA04D0A8"/>
    <w:lvl w:ilvl="0" w:tplc="580C2958">
      <w:numFmt w:val="bullet"/>
      <w:lvlText w:val="-"/>
      <w:lvlJc w:val="left"/>
      <w:pPr>
        <w:ind w:left="1800" w:hanging="360"/>
      </w:pPr>
      <w:rPr>
        <w:rFonts w:ascii="Calibri" w:eastAsiaTheme="minorHAnsi" w:hAnsi="Calibri"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0" w15:restartNumberingAfterBreak="0">
    <w:nsid w:val="53D130F7"/>
    <w:multiLevelType w:val="hybridMultilevel"/>
    <w:tmpl w:val="24DEAE9A"/>
    <w:lvl w:ilvl="0" w:tplc="08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D243EA"/>
    <w:multiLevelType w:val="hybridMultilevel"/>
    <w:tmpl w:val="2B582E98"/>
    <w:lvl w:ilvl="0" w:tplc="580C2958">
      <w:numFmt w:val="bullet"/>
      <w:lvlText w:val="-"/>
      <w:lvlJc w:val="left"/>
      <w:pPr>
        <w:ind w:left="1080" w:hanging="360"/>
      </w:pPr>
      <w:rPr>
        <w:rFonts w:ascii="Calibri" w:eastAsiaTheme="minorHAnsi" w:hAnsi="Calibri"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2" w15:restartNumberingAfterBreak="0">
    <w:nsid w:val="5F2676F3"/>
    <w:multiLevelType w:val="multilevel"/>
    <w:tmpl w:val="295C0B5E"/>
    <w:lvl w:ilvl="0">
      <w:start w:val="1"/>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93556C5"/>
    <w:multiLevelType w:val="hybridMultilevel"/>
    <w:tmpl w:val="05782682"/>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6E0D34CD"/>
    <w:multiLevelType w:val="multilevel"/>
    <w:tmpl w:val="77EAE8C4"/>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DB25FB"/>
    <w:multiLevelType w:val="multilevel"/>
    <w:tmpl w:val="77EAE8C4"/>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DD35F26"/>
    <w:multiLevelType w:val="hybridMultilevel"/>
    <w:tmpl w:val="963AA652"/>
    <w:lvl w:ilvl="0" w:tplc="580C2958">
      <w:numFmt w:val="bullet"/>
      <w:lvlText w:val="-"/>
      <w:lvlJc w:val="left"/>
      <w:pPr>
        <w:ind w:left="1080" w:hanging="360"/>
      </w:pPr>
      <w:rPr>
        <w:rFonts w:ascii="Calibri" w:eastAsiaTheme="minorHAnsi" w:hAnsi="Calibri"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abstractNumId w:val="20"/>
  </w:num>
  <w:num w:numId="2">
    <w:abstractNumId w:val="10"/>
  </w:num>
  <w:num w:numId="3">
    <w:abstractNumId w:val="23"/>
  </w:num>
  <w:num w:numId="4">
    <w:abstractNumId w:val="24"/>
  </w:num>
  <w:num w:numId="5">
    <w:abstractNumId w:val="9"/>
  </w:num>
  <w:num w:numId="6">
    <w:abstractNumId w:val="15"/>
  </w:num>
  <w:num w:numId="7">
    <w:abstractNumId w:val="2"/>
  </w:num>
  <w:num w:numId="8">
    <w:abstractNumId w:val="3"/>
  </w:num>
  <w:num w:numId="9">
    <w:abstractNumId w:val="18"/>
  </w:num>
  <w:num w:numId="10">
    <w:abstractNumId w:val="16"/>
  </w:num>
  <w:num w:numId="11">
    <w:abstractNumId w:val="5"/>
  </w:num>
  <w:num w:numId="12">
    <w:abstractNumId w:val="1"/>
  </w:num>
  <w:num w:numId="13">
    <w:abstractNumId w:val="8"/>
  </w:num>
  <w:num w:numId="14">
    <w:abstractNumId w:val="14"/>
  </w:num>
  <w:num w:numId="15">
    <w:abstractNumId w:val="0"/>
  </w:num>
  <w:num w:numId="16">
    <w:abstractNumId w:val="22"/>
  </w:num>
  <w:num w:numId="17">
    <w:abstractNumId w:val="7"/>
  </w:num>
  <w:num w:numId="18">
    <w:abstractNumId w:val="12"/>
  </w:num>
  <w:num w:numId="19">
    <w:abstractNumId w:val="6"/>
  </w:num>
  <w:num w:numId="20">
    <w:abstractNumId w:val="25"/>
  </w:num>
  <w:num w:numId="21">
    <w:abstractNumId w:val="4"/>
  </w:num>
  <w:num w:numId="22">
    <w:abstractNumId w:val="26"/>
  </w:num>
  <w:num w:numId="23">
    <w:abstractNumId w:val="19"/>
  </w:num>
  <w:num w:numId="24">
    <w:abstractNumId w:val="21"/>
  </w:num>
  <w:num w:numId="25">
    <w:abstractNumId w:val="17"/>
  </w:num>
  <w:num w:numId="26">
    <w:abstractNumId w:val="1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28"/>
    <w:rsid w:val="000019E4"/>
    <w:rsid w:val="0000424B"/>
    <w:rsid w:val="00006323"/>
    <w:rsid w:val="00010837"/>
    <w:rsid w:val="00012D74"/>
    <w:rsid w:val="000136BE"/>
    <w:rsid w:val="0001715D"/>
    <w:rsid w:val="000177F4"/>
    <w:rsid w:val="00025B76"/>
    <w:rsid w:val="000273A8"/>
    <w:rsid w:val="000314C0"/>
    <w:rsid w:val="000353C9"/>
    <w:rsid w:val="00036FE7"/>
    <w:rsid w:val="000418B1"/>
    <w:rsid w:val="00045937"/>
    <w:rsid w:val="000468A1"/>
    <w:rsid w:val="00053401"/>
    <w:rsid w:val="0005477C"/>
    <w:rsid w:val="00060F23"/>
    <w:rsid w:val="00064659"/>
    <w:rsid w:val="00065DF2"/>
    <w:rsid w:val="000671F0"/>
    <w:rsid w:val="00070FCB"/>
    <w:rsid w:val="00071AC4"/>
    <w:rsid w:val="00073A58"/>
    <w:rsid w:val="00085C1D"/>
    <w:rsid w:val="00091767"/>
    <w:rsid w:val="00092B30"/>
    <w:rsid w:val="00093C6B"/>
    <w:rsid w:val="00097378"/>
    <w:rsid w:val="000A6FDC"/>
    <w:rsid w:val="000B2B99"/>
    <w:rsid w:val="000C17DD"/>
    <w:rsid w:val="000C509C"/>
    <w:rsid w:val="000C525D"/>
    <w:rsid w:val="000C6789"/>
    <w:rsid w:val="000D0EA4"/>
    <w:rsid w:val="000E42F6"/>
    <w:rsid w:val="000E7AE8"/>
    <w:rsid w:val="000F050E"/>
    <w:rsid w:val="000F6417"/>
    <w:rsid w:val="001108EC"/>
    <w:rsid w:val="00116937"/>
    <w:rsid w:val="00120B02"/>
    <w:rsid w:val="00133FD4"/>
    <w:rsid w:val="00137373"/>
    <w:rsid w:val="00142D76"/>
    <w:rsid w:val="00143671"/>
    <w:rsid w:val="00154C38"/>
    <w:rsid w:val="00155B0A"/>
    <w:rsid w:val="001568DE"/>
    <w:rsid w:val="0016188F"/>
    <w:rsid w:val="00166A98"/>
    <w:rsid w:val="00175784"/>
    <w:rsid w:val="00184B22"/>
    <w:rsid w:val="00186252"/>
    <w:rsid w:val="00192068"/>
    <w:rsid w:val="00197CED"/>
    <w:rsid w:val="001A46D9"/>
    <w:rsid w:val="001B387E"/>
    <w:rsid w:val="001B7B84"/>
    <w:rsid w:val="001D0A6B"/>
    <w:rsid w:val="001D6C5C"/>
    <w:rsid w:val="001D75C5"/>
    <w:rsid w:val="001E40C9"/>
    <w:rsid w:val="001F6F96"/>
    <w:rsid w:val="001F76A2"/>
    <w:rsid w:val="001F7923"/>
    <w:rsid w:val="00201A17"/>
    <w:rsid w:val="00203AC4"/>
    <w:rsid w:val="00204136"/>
    <w:rsid w:val="00204FC2"/>
    <w:rsid w:val="00205AF2"/>
    <w:rsid w:val="00207063"/>
    <w:rsid w:val="00210858"/>
    <w:rsid w:val="00210B0A"/>
    <w:rsid w:val="002133A4"/>
    <w:rsid w:val="0021451F"/>
    <w:rsid w:val="00216DFE"/>
    <w:rsid w:val="00220870"/>
    <w:rsid w:val="00227D96"/>
    <w:rsid w:val="0023786B"/>
    <w:rsid w:val="00242008"/>
    <w:rsid w:val="002509B8"/>
    <w:rsid w:val="00250F85"/>
    <w:rsid w:val="00251DB9"/>
    <w:rsid w:val="002558CE"/>
    <w:rsid w:val="00255CB6"/>
    <w:rsid w:val="002577EE"/>
    <w:rsid w:val="0025793B"/>
    <w:rsid w:val="00260C59"/>
    <w:rsid w:val="00261E2F"/>
    <w:rsid w:val="00262968"/>
    <w:rsid w:val="002643CE"/>
    <w:rsid w:val="0027082C"/>
    <w:rsid w:val="0027119C"/>
    <w:rsid w:val="00281987"/>
    <w:rsid w:val="002834F9"/>
    <w:rsid w:val="00286A36"/>
    <w:rsid w:val="00295F3D"/>
    <w:rsid w:val="002975C0"/>
    <w:rsid w:val="002A31A0"/>
    <w:rsid w:val="002A3AD7"/>
    <w:rsid w:val="002A59F9"/>
    <w:rsid w:val="002A5F99"/>
    <w:rsid w:val="002B4F3F"/>
    <w:rsid w:val="002C2E4F"/>
    <w:rsid w:val="002D0D05"/>
    <w:rsid w:val="002D11C7"/>
    <w:rsid w:val="002D2018"/>
    <w:rsid w:val="002D7AAD"/>
    <w:rsid w:val="002D7B26"/>
    <w:rsid w:val="002E4D5B"/>
    <w:rsid w:val="002E557D"/>
    <w:rsid w:val="002E558B"/>
    <w:rsid w:val="002E67C3"/>
    <w:rsid w:val="002F3BC2"/>
    <w:rsid w:val="002F526D"/>
    <w:rsid w:val="002F6717"/>
    <w:rsid w:val="003043D7"/>
    <w:rsid w:val="00306C41"/>
    <w:rsid w:val="00306EF3"/>
    <w:rsid w:val="00307996"/>
    <w:rsid w:val="003169DC"/>
    <w:rsid w:val="00321433"/>
    <w:rsid w:val="00322254"/>
    <w:rsid w:val="003227E7"/>
    <w:rsid w:val="00322FC1"/>
    <w:rsid w:val="003241BC"/>
    <w:rsid w:val="00327404"/>
    <w:rsid w:val="0032765C"/>
    <w:rsid w:val="00340219"/>
    <w:rsid w:val="00341E64"/>
    <w:rsid w:val="00351241"/>
    <w:rsid w:val="00352683"/>
    <w:rsid w:val="00352F89"/>
    <w:rsid w:val="00353D9B"/>
    <w:rsid w:val="0036345E"/>
    <w:rsid w:val="00365638"/>
    <w:rsid w:val="003724B2"/>
    <w:rsid w:val="00373F32"/>
    <w:rsid w:val="0037426E"/>
    <w:rsid w:val="0038108E"/>
    <w:rsid w:val="00385F0E"/>
    <w:rsid w:val="003949C6"/>
    <w:rsid w:val="00395E6E"/>
    <w:rsid w:val="003A1D6E"/>
    <w:rsid w:val="003A374B"/>
    <w:rsid w:val="003A3FFC"/>
    <w:rsid w:val="003A5905"/>
    <w:rsid w:val="003A6C36"/>
    <w:rsid w:val="003B3F6A"/>
    <w:rsid w:val="003B4A0D"/>
    <w:rsid w:val="003B582B"/>
    <w:rsid w:val="003B65CA"/>
    <w:rsid w:val="003B7FA9"/>
    <w:rsid w:val="003C061F"/>
    <w:rsid w:val="003C5F53"/>
    <w:rsid w:val="003D01BA"/>
    <w:rsid w:val="003D7CF4"/>
    <w:rsid w:val="003D7DFA"/>
    <w:rsid w:val="003E231A"/>
    <w:rsid w:val="003E30D2"/>
    <w:rsid w:val="003E5ADF"/>
    <w:rsid w:val="003E671B"/>
    <w:rsid w:val="003E7C4F"/>
    <w:rsid w:val="003F32AD"/>
    <w:rsid w:val="003F5BA5"/>
    <w:rsid w:val="003F5E3E"/>
    <w:rsid w:val="003F7BCB"/>
    <w:rsid w:val="00400345"/>
    <w:rsid w:val="00400F90"/>
    <w:rsid w:val="00402193"/>
    <w:rsid w:val="0040352D"/>
    <w:rsid w:val="004169A7"/>
    <w:rsid w:val="00424D9E"/>
    <w:rsid w:val="004267A6"/>
    <w:rsid w:val="0043202F"/>
    <w:rsid w:val="00432163"/>
    <w:rsid w:val="004322E8"/>
    <w:rsid w:val="0043277F"/>
    <w:rsid w:val="00435910"/>
    <w:rsid w:val="00437440"/>
    <w:rsid w:val="0044134A"/>
    <w:rsid w:val="004414BA"/>
    <w:rsid w:val="00443D69"/>
    <w:rsid w:val="004445B8"/>
    <w:rsid w:val="0045105C"/>
    <w:rsid w:val="00451ED5"/>
    <w:rsid w:val="00452199"/>
    <w:rsid w:val="00452ECF"/>
    <w:rsid w:val="0045304A"/>
    <w:rsid w:val="00454B9D"/>
    <w:rsid w:val="00457E45"/>
    <w:rsid w:val="0047199E"/>
    <w:rsid w:val="004736BE"/>
    <w:rsid w:val="00473E42"/>
    <w:rsid w:val="00480773"/>
    <w:rsid w:val="004810AF"/>
    <w:rsid w:val="00481FAD"/>
    <w:rsid w:val="00484187"/>
    <w:rsid w:val="0048442D"/>
    <w:rsid w:val="00490CE0"/>
    <w:rsid w:val="00490DB8"/>
    <w:rsid w:val="00491EE4"/>
    <w:rsid w:val="00496E81"/>
    <w:rsid w:val="004A5E06"/>
    <w:rsid w:val="004D1746"/>
    <w:rsid w:val="004D2B42"/>
    <w:rsid w:val="004D4B80"/>
    <w:rsid w:val="004D5AD1"/>
    <w:rsid w:val="004E06B4"/>
    <w:rsid w:val="004E5E1E"/>
    <w:rsid w:val="004F0CCF"/>
    <w:rsid w:val="00501AF9"/>
    <w:rsid w:val="00504101"/>
    <w:rsid w:val="00507FD4"/>
    <w:rsid w:val="0051065D"/>
    <w:rsid w:val="00511D02"/>
    <w:rsid w:val="00513A38"/>
    <w:rsid w:val="005141DE"/>
    <w:rsid w:val="00521439"/>
    <w:rsid w:val="005244FF"/>
    <w:rsid w:val="00526C22"/>
    <w:rsid w:val="00527381"/>
    <w:rsid w:val="00531391"/>
    <w:rsid w:val="00534646"/>
    <w:rsid w:val="00537488"/>
    <w:rsid w:val="00543FCC"/>
    <w:rsid w:val="00546895"/>
    <w:rsid w:val="0055230F"/>
    <w:rsid w:val="005528E4"/>
    <w:rsid w:val="00552EE9"/>
    <w:rsid w:val="005576F9"/>
    <w:rsid w:val="005723DC"/>
    <w:rsid w:val="00573A9A"/>
    <w:rsid w:val="00576B6B"/>
    <w:rsid w:val="00577D3B"/>
    <w:rsid w:val="00580606"/>
    <w:rsid w:val="00584765"/>
    <w:rsid w:val="0058570D"/>
    <w:rsid w:val="00586352"/>
    <w:rsid w:val="0058661A"/>
    <w:rsid w:val="00593E2D"/>
    <w:rsid w:val="00593F7A"/>
    <w:rsid w:val="0059524D"/>
    <w:rsid w:val="005A008F"/>
    <w:rsid w:val="005A1A4B"/>
    <w:rsid w:val="005A7973"/>
    <w:rsid w:val="005C3342"/>
    <w:rsid w:val="005C383C"/>
    <w:rsid w:val="005C4417"/>
    <w:rsid w:val="005D09B0"/>
    <w:rsid w:val="005D313F"/>
    <w:rsid w:val="005D5B70"/>
    <w:rsid w:val="005E2C60"/>
    <w:rsid w:val="005F0CF1"/>
    <w:rsid w:val="005F555C"/>
    <w:rsid w:val="005F63A6"/>
    <w:rsid w:val="00604E57"/>
    <w:rsid w:val="006050AE"/>
    <w:rsid w:val="00607B39"/>
    <w:rsid w:val="00612E30"/>
    <w:rsid w:val="00626D6C"/>
    <w:rsid w:val="00627862"/>
    <w:rsid w:val="0063289F"/>
    <w:rsid w:val="006352ED"/>
    <w:rsid w:val="00635C6D"/>
    <w:rsid w:val="006548EB"/>
    <w:rsid w:val="006558C1"/>
    <w:rsid w:val="0066261A"/>
    <w:rsid w:val="00663699"/>
    <w:rsid w:val="00665C74"/>
    <w:rsid w:val="00672D36"/>
    <w:rsid w:val="00680FC2"/>
    <w:rsid w:val="006816BA"/>
    <w:rsid w:val="006832DA"/>
    <w:rsid w:val="00694ED8"/>
    <w:rsid w:val="00697C0D"/>
    <w:rsid w:val="006A2221"/>
    <w:rsid w:val="006A515D"/>
    <w:rsid w:val="006B0DBC"/>
    <w:rsid w:val="006B7233"/>
    <w:rsid w:val="006C2935"/>
    <w:rsid w:val="006C3FEF"/>
    <w:rsid w:val="006C70DC"/>
    <w:rsid w:val="006D071F"/>
    <w:rsid w:val="006D5B98"/>
    <w:rsid w:val="006E32F9"/>
    <w:rsid w:val="006E43AB"/>
    <w:rsid w:val="006E48F8"/>
    <w:rsid w:val="006E4B44"/>
    <w:rsid w:val="006F1087"/>
    <w:rsid w:val="006F2B6C"/>
    <w:rsid w:val="006F4249"/>
    <w:rsid w:val="006F58B7"/>
    <w:rsid w:val="006F5A82"/>
    <w:rsid w:val="006F5E30"/>
    <w:rsid w:val="00713693"/>
    <w:rsid w:val="00716FDE"/>
    <w:rsid w:val="00717484"/>
    <w:rsid w:val="00717931"/>
    <w:rsid w:val="00722927"/>
    <w:rsid w:val="00723D58"/>
    <w:rsid w:val="007244D2"/>
    <w:rsid w:val="00727384"/>
    <w:rsid w:val="00732799"/>
    <w:rsid w:val="0073393F"/>
    <w:rsid w:val="00740C95"/>
    <w:rsid w:val="00750CF4"/>
    <w:rsid w:val="007518BE"/>
    <w:rsid w:val="00753588"/>
    <w:rsid w:val="00753DB4"/>
    <w:rsid w:val="0076077D"/>
    <w:rsid w:val="00761CF0"/>
    <w:rsid w:val="00764801"/>
    <w:rsid w:val="0076720F"/>
    <w:rsid w:val="00767FE2"/>
    <w:rsid w:val="0077056A"/>
    <w:rsid w:val="00772281"/>
    <w:rsid w:val="00774F4E"/>
    <w:rsid w:val="00782132"/>
    <w:rsid w:val="00783E55"/>
    <w:rsid w:val="00786526"/>
    <w:rsid w:val="007879DE"/>
    <w:rsid w:val="007903D5"/>
    <w:rsid w:val="00792652"/>
    <w:rsid w:val="00792E12"/>
    <w:rsid w:val="0079524D"/>
    <w:rsid w:val="007A14EC"/>
    <w:rsid w:val="007A277E"/>
    <w:rsid w:val="007A54BF"/>
    <w:rsid w:val="007B06A6"/>
    <w:rsid w:val="007B26AD"/>
    <w:rsid w:val="007B53AF"/>
    <w:rsid w:val="007C1A6A"/>
    <w:rsid w:val="007C2F2B"/>
    <w:rsid w:val="007C58B8"/>
    <w:rsid w:val="007D5F5E"/>
    <w:rsid w:val="007D75E5"/>
    <w:rsid w:val="007D7BF0"/>
    <w:rsid w:val="007E4B5F"/>
    <w:rsid w:val="007F0E1E"/>
    <w:rsid w:val="007F752D"/>
    <w:rsid w:val="008002D2"/>
    <w:rsid w:val="008028EE"/>
    <w:rsid w:val="00804534"/>
    <w:rsid w:val="00811FEE"/>
    <w:rsid w:val="008125D8"/>
    <w:rsid w:val="008128B9"/>
    <w:rsid w:val="00821BD2"/>
    <w:rsid w:val="00826309"/>
    <w:rsid w:val="00826343"/>
    <w:rsid w:val="00832A83"/>
    <w:rsid w:val="00833A41"/>
    <w:rsid w:val="008406C5"/>
    <w:rsid w:val="00843DFF"/>
    <w:rsid w:val="008449B8"/>
    <w:rsid w:val="00851DEA"/>
    <w:rsid w:val="008532D0"/>
    <w:rsid w:val="00865E76"/>
    <w:rsid w:val="00870161"/>
    <w:rsid w:val="00870823"/>
    <w:rsid w:val="00871E8B"/>
    <w:rsid w:val="00883908"/>
    <w:rsid w:val="008917E3"/>
    <w:rsid w:val="00893430"/>
    <w:rsid w:val="00894422"/>
    <w:rsid w:val="00895A3C"/>
    <w:rsid w:val="00896412"/>
    <w:rsid w:val="00896C34"/>
    <w:rsid w:val="008A19B8"/>
    <w:rsid w:val="008A1E27"/>
    <w:rsid w:val="008A2CE1"/>
    <w:rsid w:val="008A4F24"/>
    <w:rsid w:val="008A6416"/>
    <w:rsid w:val="008B017B"/>
    <w:rsid w:val="008B1203"/>
    <w:rsid w:val="008B3477"/>
    <w:rsid w:val="008B39F0"/>
    <w:rsid w:val="008B3CBE"/>
    <w:rsid w:val="008B47AD"/>
    <w:rsid w:val="008B4B1A"/>
    <w:rsid w:val="008B50FA"/>
    <w:rsid w:val="008B5B52"/>
    <w:rsid w:val="008B5D0C"/>
    <w:rsid w:val="008C1718"/>
    <w:rsid w:val="008C375C"/>
    <w:rsid w:val="008C3863"/>
    <w:rsid w:val="008C3FA2"/>
    <w:rsid w:val="008D04EC"/>
    <w:rsid w:val="008D7276"/>
    <w:rsid w:val="008F28B9"/>
    <w:rsid w:val="00907CDF"/>
    <w:rsid w:val="009162BB"/>
    <w:rsid w:val="00917834"/>
    <w:rsid w:val="00926F35"/>
    <w:rsid w:val="009340DF"/>
    <w:rsid w:val="00936670"/>
    <w:rsid w:val="00940FAB"/>
    <w:rsid w:val="00941332"/>
    <w:rsid w:val="00945017"/>
    <w:rsid w:val="00951202"/>
    <w:rsid w:val="00955477"/>
    <w:rsid w:val="009560D8"/>
    <w:rsid w:val="00957AA1"/>
    <w:rsid w:val="00971526"/>
    <w:rsid w:val="00975A88"/>
    <w:rsid w:val="00976E51"/>
    <w:rsid w:val="00985B7C"/>
    <w:rsid w:val="009B04B1"/>
    <w:rsid w:val="009C0868"/>
    <w:rsid w:val="009C17C5"/>
    <w:rsid w:val="009C4E98"/>
    <w:rsid w:val="009C5A55"/>
    <w:rsid w:val="009C5D8B"/>
    <w:rsid w:val="009D26D1"/>
    <w:rsid w:val="009D2F7C"/>
    <w:rsid w:val="009D51EA"/>
    <w:rsid w:val="009D6451"/>
    <w:rsid w:val="009E2505"/>
    <w:rsid w:val="009E339A"/>
    <w:rsid w:val="009E4041"/>
    <w:rsid w:val="009E4796"/>
    <w:rsid w:val="009E4B68"/>
    <w:rsid w:val="009E69E3"/>
    <w:rsid w:val="009F01FA"/>
    <w:rsid w:val="009F43A2"/>
    <w:rsid w:val="009F5445"/>
    <w:rsid w:val="009F742A"/>
    <w:rsid w:val="00A03625"/>
    <w:rsid w:val="00A04A18"/>
    <w:rsid w:val="00A06080"/>
    <w:rsid w:val="00A24E8C"/>
    <w:rsid w:val="00A267A2"/>
    <w:rsid w:val="00A33E8C"/>
    <w:rsid w:val="00A3440E"/>
    <w:rsid w:val="00A3791F"/>
    <w:rsid w:val="00A429D3"/>
    <w:rsid w:val="00A440C4"/>
    <w:rsid w:val="00A4562F"/>
    <w:rsid w:val="00A52EBB"/>
    <w:rsid w:val="00A54B39"/>
    <w:rsid w:val="00A628BC"/>
    <w:rsid w:val="00A62BA8"/>
    <w:rsid w:val="00A62C3D"/>
    <w:rsid w:val="00A646E4"/>
    <w:rsid w:val="00A67D9F"/>
    <w:rsid w:val="00A72D71"/>
    <w:rsid w:val="00A77802"/>
    <w:rsid w:val="00A82304"/>
    <w:rsid w:val="00A83945"/>
    <w:rsid w:val="00A83CB5"/>
    <w:rsid w:val="00A83F3A"/>
    <w:rsid w:val="00A85D1E"/>
    <w:rsid w:val="00A90910"/>
    <w:rsid w:val="00AA055C"/>
    <w:rsid w:val="00AA32C1"/>
    <w:rsid w:val="00AB20B2"/>
    <w:rsid w:val="00AC47FC"/>
    <w:rsid w:val="00AC491F"/>
    <w:rsid w:val="00AD2D7C"/>
    <w:rsid w:val="00AD5BD1"/>
    <w:rsid w:val="00AD6124"/>
    <w:rsid w:val="00AD654C"/>
    <w:rsid w:val="00AE1C40"/>
    <w:rsid w:val="00AE2515"/>
    <w:rsid w:val="00AE6DF3"/>
    <w:rsid w:val="00AF05A9"/>
    <w:rsid w:val="00B076E6"/>
    <w:rsid w:val="00B14428"/>
    <w:rsid w:val="00B176E8"/>
    <w:rsid w:val="00B21604"/>
    <w:rsid w:val="00B216A0"/>
    <w:rsid w:val="00B23786"/>
    <w:rsid w:val="00B25713"/>
    <w:rsid w:val="00B33243"/>
    <w:rsid w:val="00B37FB8"/>
    <w:rsid w:val="00B40F7F"/>
    <w:rsid w:val="00B44473"/>
    <w:rsid w:val="00B44B6A"/>
    <w:rsid w:val="00B451DF"/>
    <w:rsid w:val="00B47259"/>
    <w:rsid w:val="00B475CE"/>
    <w:rsid w:val="00B530C1"/>
    <w:rsid w:val="00B53927"/>
    <w:rsid w:val="00B60165"/>
    <w:rsid w:val="00B64F67"/>
    <w:rsid w:val="00B66DEB"/>
    <w:rsid w:val="00B72D8A"/>
    <w:rsid w:val="00B73555"/>
    <w:rsid w:val="00B8240F"/>
    <w:rsid w:val="00B82477"/>
    <w:rsid w:val="00B82AEE"/>
    <w:rsid w:val="00B910C5"/>
    <w:rsid w:val="00B93C46"/>
    <w:rsid w:val="00B97289"/>
    <w:rsid w:val="00BA0C76"/>
    <w:rsid w:val="00BA0DB5"/>
    <w:rsid w:val="00BA290A"/>
    <w:rsid w:val="00BB019C"/>
    <w:rsid w:val="00BB23DD"/>
    <w:rsid w:val="00BB2798"/>
    <w:rsid w:val="00BB2F23"/>
    <w:rsid w:val="00BC4AA8"/>
    <w:rsid w:val="00BC524D"/>
    <w:rsid w:val="00BD0E2A"/>
    <w:rsid w:val="00BD0F4F"/>
    <w:rsid w:val="00BD25CF"/>
    <w:rsid w:val="00BD7CA6"/>
    <w:rsid w:val="00BE1BC3"/>
    <w:rsid w:val="00BE6DD2"/>
    <w:rsid w:val="00BE761A"/>
    <w:rsid w:val="00BF4A4A"/>
    <w:rsid w:val="00BF68D8"/>
    <w:rsid w:val="00C07949"/>
    <w:rsid w:val="00C07DE9"/>
    <w:rsid w:val="00C1064B"/>
    <w:rsid w:val="00C11679"/>
    <w:rsid w:val="00C146AC"/>
    <w:rsid w:val="00C21BC0"/>
    <w:rsid w:val="00C27F94"/>
    <w:rsid w:val="00C3128B"/>
    <w:rsid w:val="00C334B5"/>
    <w:rsid w:val="00C35C9E"/>
    <w:rsid w:val="00C35F67"/>
    <w:rsid w:val="00C367A6"/>
    <w:rsid w:val="00C40159"/>
    <w:rsid w:val="00C403FA"/>
    <w:rsid w:val="00C4095F"/>
    <w:rsid w:val="00C413E2"/>
    <w:rsid w:val="00C61462"/>
    <w:rsid w:val="00C679A5"/>
    <w:rsid w:val="00C70965"/>
    <w:rsid w:val="00C72A0A"/>
    <w:rsid w:val="00C73950"/>
    <w:rsid w:val="00C742BF"/>
    <w:rsid w:val="00C77C0F"/>
    <w:rsid w:val="00C910CD"/>
    <w:rsid w:val="00C9243F"/>
    <w:rsid w:val="00C93787"/>
    <w:rsid w:val="00C9542F"/>
    <w:rsid w:val="00C9584D"/>
    <w:rsid w:val="00C95F9C"/>
    <w:rsid w:val="00CA3F03"/>
    <w:rsid w:val="00CA44DE"/>
    <w:rsid w:val="00CA6421"/>
    <w:rsid w:val="00CB1003"/>
    <w:rsid w:val="00CB58D3"/>
    <w:rsid w:val="00CD6398"/>
    <w:rsid w:val="00CE3725"/>
    <w:rsid w:val="00CF2E4D"/>
    <w:rsid w:val="00CF324A"/>
    <w:rsid w:val="00CF5DD7"/>
    <w:rsid w:val="00D021F7"/>
    <w:rsid w:val="00D10C18"/>
    <w:rsid w:val="00D11E25"/>
    <w:rsid w:val="00D143C6"/>
    <w:rsid w:val="00D22DC0"/>
    <w:rsid w:val="00D26DF8"/>
    <w:rsid w:val="00D3245D"/>
    <w:rsid w:val="00D333F1"/>
    <w:rsid w:val="00D33EA6"/>
    <w:rsid w:val="00D41BB9"/>
    <w:rsid w:val="00D4581E"/>
    <w:rsid w:val="00D526E8"/>
    <w:rsid w:val="00D54A74"/>
    <w:rsid w:val="00D62D99"/>
    <w:rsid w:val="00D63CA1"/>
    <w:rsid w:val="00D72953"/>
    <w:rsid w:val="00D77D2D"/>
    <w:rsid w:val="00D93460"/>
    <w:rsid w:val="00DA6D8C"/>
    <w:rsid w:val="00DA7FC3"/>
    <w:rsid w:val="00DB0388"/>
    <w:rsid w:val="00DC4905"/>
    <w:rsid w:val="00DC4AFC"/>
    <w:rsid w:val="00DD0020"/>
    <w:rsid w:val="00DD2DA2"/>
    <w:rsid w:val="00DD4343"/>
    <w:rsid w:val="00DE6478"/>
    <w:rsid w:val="00DF4B17"/>
    <w:rsid w:val="00DF7E85"/>
    <w:rsid w:val="00E077BD"/>
    <w:rsid w:val="00E11E1D"/>
    <w:rsid w:val="00E12CC0"/>
    <w:rsid w:val="00E17A8E"/>
    <w:rsid w:val="00E22E52"/>
    <w:rsid w:val="00E23DCF"/>
    <w:rsid w:val="00E2440A"/>
    <w:rsid w:val="00E25886"/>
    <w:rsid w:val="00E3422F"/>
    <w:rsid w:val="00E46B6A"/>
    <w:rsid w:val="00E57C3B"/>
    <w:rsid w:val="00E6261D"/>
    <w:rsid w:val="00E65591"/>
    <w:rsid w:val="00E7019A"/>
    <w:rsid w:val="00E7063F"/>
    <w:rsid w:val="00E768F8"/>
    <w:rsid w:val="00E816BE"/>
    <w:rsid w:val="00E833CB"/>
    <w:rsid w:val="00E84BC1"/>
    <w:rsid w:val="00E87BD5"/>
    <w:rsid w:val="00E9077F"/>
    <w:rsid w:val="00E917D9"/>
    <w:rsid w:val="00E9426B"/>
    <w:rsid w:val="00E944E2"/>
    <w:rsid w:val="00E94605"/>
    <w:rsid w:val="00E94786"/>
    <w:rsid w:val="00E96FF9"/>
    <w:rsid w:val="00EA5D4B"/>
    <w:rsid w:val="00EB2840"/>
    <w:rsid w:val="00EB4139"/>
    <w:rsid w:val="00EC5828"/>
    <w:rsid w:val="00EC79B5"/>
    <w:rsid w:val="00EC7FEC"/>
    <w:rsid w:val="00ED2240"/>
    <w:rsid w:val="00ED407A"/>
    <w:rsid w:val="00ED6606"/>
    <w:rsid w:val="00EE1935"/>
    <w:rsid w:val="00EE5FF0"/>
    <w:rsid w:val="00EF23A9"/>
    <w:rsid w:val="00EF3BD9"/>
    <w:rsid w:val="00EF4FA9"/>
    <w:rsid w:val="00EF52B9"/>
    <w:rsid w:val="00EF54DD"/>
    <w:rsid w:val="00EF563C"/>
    <w:rsid w:val="00EF7607"/>
    <w:rsid w:val="00F011CE"/>
    <w:rsid w:val="00F013D2"/>
    <w:rsid w:val="00F01BA7"/>
    <w:rsid w:val="00F02554"/>
    <w:rsid w:val="00F05DED"/>
    <w:rsid w:val="00F10AE9"/>
    <w:rsid w:val="00F12A28"/>
    <w:rsid w:val="00F14A83"/>
    <w:rsid w:val="00F16A07"/>
    <w:rsid w:val="00F23742"/>
    <w:rsid w:val="00F276BB"/>
    <w:rsid w:val="00F310AA"/>
    <w:rsid w:val="00F448BC"/>
    <w:rsid w:val="00F466F8"/>
    <w:rsid w:val="00F5301C"/>
    <w:rsid w:val="00F61E57"/>
    <w:rsid w:val="00F732A1"/>
    <w:rsid w:val="00F75311"/>
    <w:rsid w:val="00F75BA1"/>
    <w:rsid w:val="00F86122"/>
    <w:rsid w:val="00F86911"/>
    <w:rsid w:val="00F90E45"/>
    <w:rsid w:val="00F91004"/>
    <w:rsid w:val="00F93284"/>
    <w:rsid w:val="00F95188"/>
    <w:rsid w:val="00F97F85"/>
    <w:rsid w:val="00FA0BB6"/>
    <w:rsid w:val="00FA1324"/>
    <w:rsid w:val="00FA1B38"/>
    <w:rsid w:val="00FA292B"/>
    <w:rsid w:val="00FA3ADE"/>
    <w:rsid w:val="00FB0FFC"/>
    <w:rsid w:val="00FB29A7"/>
    <w:rsid w:val="00FC15D4"/>
    <w:rsid w:val="00FC4F1C"/>
    <w:rsid w:val="00FC6393"/>
    <w:rsid w:val="00FD1CE1"/>
    <w:rsid w:val="00FD3101"/>
    <w:rsid w:val="00FD607A"/>
    <w:rsid w:val="00FE1C94"/>
    <w:rsid w:val="00FE229A"/>
    <w:rsid w:val="00FE6A0B"/>
    <w:rsid w:val="00FF15CA"/>
    <w:rsid w:val="00FF15EA"/>
    <w:rsid w:val="00FF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06F00C0A"/>
  <w15:chartTrackingRefBased/>
  <w15:docId w15:val="{3840F1BC-DD27-423F-B5F0-9A3B3DB9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BA1"/>
  </w:style>
  <w:style w:type="paragraph" w:styleId="Heading1">
    <w:name w:val="heading 1"/>
    <w:basedOn w:val="Normal"/>
    <w:next w:val="Normal"/>
    <w:link w:val="Heading1Char"/>
    <w:uiPriority w:val="9"/>
    <w:qFormat/>
    <w:rsid w:val="00F12A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2A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2A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273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A28"/>
    <w:pPr>
      <w:tabs>
        <w:tab w:val="center" w:pos="4703"/>
        <w:tab w:val="right" w:pos="9406"/>
      </w:tabs>
      <w:spacing w:after="0" w:line="240" w:lineRule="auto"/>
    </w:pPr>
  </w:style>
  <w:style w:type="character" w:customStyle="1" w:styleId="HeaderChar">
    <w:name w:val="Header Char"/>
    <w:basedOn w:val="DefaultParagraphFont"/>
    <w:link w:val="Header"/>
    <w:uiPriority w:val="99"/>
    <w:rsid w:val="00F12A28"/>
  </w:style>
  <w:style w:type="paragraph" w:styleId="Footer">
    <w:name w:val="footer"/>
    <w:basedOn w:val="Normal"/>
    <w:link w:val="FooterChar"/>
    <w:uiPriority w:val="99"/>
    <w:unhideWhenUsed/>
    <w:rsid w:val="00F12A28"/>
    <w:pPr>
      <w:tabs>
        <w:tab w:val="center" w:pos="4703"/>
        <w:tab w:val="right" w:pos="9406"/>
      </w:tabs>
      <w:spacing w:after="0" w:line="240" w:lineRule="auto"/>
    </w:pPr>
  </w:style>
  <w:style w:type="character" w:customStyle="1" w:styleId="FooterChar">
    <w:name w:val="Footer Char"/>
    <w:basedOn w:val="DefaultParagraphFont"/>
    <w:link w:val="Footer"/>
    <w:uiPriority w:val="99"/>
    <w:rsid w:val="00F12A28"/>
  </w:style>
  <w:style w:type="character" w:customStyle="1" w:styleId="Heading1Char">
    <w:name w:val="Heading 1 Char"/>
    <w:basedOn w:val="DefaultParagraphFont"/>
    <w:link w:val="Heading1"/>
    <w:uiPriority w:val="9"/>
    <w:rsid w:val="00F12A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2A28"/>
    <w:rPr>
      <w:rFonts w:asciiTheme="majorHAnsi" w:eastAsiaTheme="majorEastAsia" w:hAnsiTheme="majorHAnsi" w:cstheme="majorBidi"/>
      <w:color w:val="2E74B5" w:themeColor="accent1" w:themeShade="BF"/>
      <w:sz w:val="26"/>
      <w:szCs w:val="26"/>
    </w:rPr>
  </w:style>
  <w:style w:type="character" w:styleId="FootnoteReference">
    <w:name w:val="footnote reference"/>
    <w:basedOn w:val="DefaultParagraphFont"/>
    <w:uiPriority w:val="99"/>
    <w:semiHidden/>
    <w:rsid w:val="00F12A28"/>
    <w:rPr>
      <w:rFonts w:asciiTheme="minorHAnsi" w:hAnsiTheme="minorHAnsi"/>
      <w:position w:val="6"/>
      <w:sz w:val="16"/>
    </w:rPr>
  </w:style>
  <w:style w:type="paragraph" w:styleId="FootnoteText">
    <w:name w:val="footnote text"/>
    <w:basedOn w:val="Normal"/>
    <w:link w:val="FootnoteTextChar"/>
    <w:uiPriority w:val="99"/>
    <w:semiHidden/>
    <w:rsid w:val="00F12A28"/>
    <w:pPr>
      <w:tabs>
        <w:tab w:val="left" w:pos="284"/>
      </w:tabs>
      <w:overflowPunct w:val="0"/>
      <w:autoSpaceDE w:val="0"/>
      <w:autoSpaceDN w:val="0"/>
      <w:adjustRightInd w:val="0"/>
      <w:spacing w:after="0" w:line="240" w:lineRule="auto"/>
      <w:ind w:left="284" w:hanging="284"/>
      <w:textAlignment w:val="baseline"/>
    </w:pPr>
    <w:rPr>
      <w:rFonts w:eastAsia="Times New Roman" w:cs="Mangal"/>
      <w:sz w:val="20"/>
      <w:szCs w:val="20"/>
      <w:lang w:val="fr-FR" w:bidi="ne-IN"/>
    </w:rPr>
  </w:style>
  <w:style w:type="character" w:customStyle="1" w:styleId="FootnoteTextChar">
    <w:name w:val="Footnote Text Char"/>
    <w:basedOn w:val="DefaultParagraphFont"/>
    <w:link w:val="FootnoteText"/>
    <w:uiPriority w:val="99"/>
    <w:semiHidden/>
    <w:rsid w:val="00F12A28"/>
    <w:rPr>
      <w:rFonts w:eastAsia="Times New Roman" w:cs="Mangal"/>
      <w:sz w:val="20"/>
      <w:szCs w:val="20"/>
      <w:lang w:val="fr-FR" w:bidi="ne-IN"/>
    </w:rPr>
  </w:style>
  <w:style w:type="table" w:styleId="TableGrid">
    <w:name w:val="Table Grid"/>
    <w:basedOn w:val="TableNormal"/>
    <w:rsid w:val="00F12A28"/>
    <w:pPr>
      <w:overflowPunct w:val="0"/>
      <w:autoSpaceDE w:val="0"/>
      <w:autoSpaceDN w:val="0"/>
      <w:adjustRightInd w:val="0"/>
      <w:spacing w:after="0" w:line="240" w:lineRule="auto"/>
    </w:pPr>
    <w:rPr>
      <w:rFonts w:ascii="Times New Roman" w:eastAsia="Times New Roman" w:hAnsi="Times New Roman" w:cs="Times New Roman"/>
      <w:sz w:val="20"/>
      <w:szCs w:val="20"/>
      <w:lang w:bidi="n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12A28"/>
    <w:pPr>
      <w:ind w:left="720"/>
      <w:contextualSpacing/>
    </w:pPr>
  </w:style>
  <w:style w:type="character" w:customStyle="1" w:styleId="ListParagraphChar">
    <w:name w:val="List Paragraph Char"/>
    <w:basedOn w:val="DefaultParagraphFont"/>
    <w:link w:val="ListParagraph"/>
    <w:uiPriority w:val="34"/>
    <w:locked/>
    <w:rsid w:val="00F12A28"/>
  </w:style>
  <w:style w:type="character" w:styleId="Hyperlink">
    <w:name w:val="Hyperlink"/>
    <w:basedOn w:val="DefaultParagraphFont"/>
    <w:unhideWhenUsed/>
    <w:rsid w:val="00F12A28"/>
    <w:rPr>
      <w:color w:val="0563C1" w:themeColor="hyperlink"/>
      <w:u w:val="single"/>
    </w:rPr>
  </w:style>
  <w:style w:type="character" w:customStyle="1" w:styleId="Heading3Char">
    <w:name w:val="Heading 3 Char"/>
    <w:basedOn w:val="DefaultParagraphFont"/>
    <w:link w:val="Heading3"/>
    <w:uiPriority w:val="9"/>
    <w:rsid w:val="00F12A2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D5BD1"/>
    <w:rPr>
      <w:color w:val="954F72" w:themeColor="followedHyperlink"/>
      <w:u w:val="single"/>
    </w:rPr>
  </w:style>
  <w:style w:type="paragraph" w:styleId="BalloonText">
    <w:name w:val="Balloon Text"/>
    <w:basedOn w:val="Normal"/>
    <w:link w:val="BalloonTextChar"/>
    <w:uiPriority w:val="99"/>
    <w:semiHidden/>
    <w:unhideWhenUsed/>
    <w:rsid w:val="008B4B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B1A"/>
    <w:rPr>
      <w:rFonts w:ascii="Segoe UI" w:hAnsi="Segoe UI" w:cs="Segoe UI"/>
      <w:sz w:val="18"/>
      <w:szCs w:val="18"/>
    </w:rPr>
  </w:style>
  <w:style w:type="character" w:styleId="CommentReference">
    <w:name w:val="annotation reference"/>
    <w:basedOn w:val="DefaultParagraphFont"/>
    <w:uiPriority w:val="99"/>
    <w:semiHidden/>
    <w:unhideWhenUsed/>
    <w:rsid w:val="00154C38"/>
    <w:rPr>
      <w:sz w:val="16"/>
      <w:szCs w:val="16"/>
    </w:rPr>
  </w:style>
  <w:style w:type="paragraph" w:styleId="CommentText">
    <w:name w:val="annotation text"/>
    <w:basedOn w:val="Normal"/>
    <w:link w:val="CommentTextChar"/>
    <w:uiPriority w:val="99"/>
    <w:semiHidden/>
    <w:unhideWhenUsed/>
    <w:rsid w:val="00154C38"/>
    <w:pPr>
      <w:spacing w:line="240" w:lineRule="auto"/>
    </w:pPr>
    <w:rPr>
      <w:sz w:val="20"/>
      <w:szCs w:val="20"/>
    </w:rPr>
  </w:style>
  <w:style w:type="character" w:customStyle="1" w:styleId="CommentTextChar">
    <w:name w:val="Comment Text Char"/>
    <w:basedOn w:val="DefaultParagraphFont"/>
    <w:link w:val="CommentText"/>
    <w:uiPriority w:val="99"/>
    <w:semiHidden/>
    <w:rsid w:val="00154C38"/>
    <w:rPr>
      <w:sz w:val="20"/>
      <w:szCs w:val="20"/>
    </w:rPr>
  </w:style>
  <w:style w:type="paragraph" w:styleId="CommentSubject">
    <w:name w:val="annotation subject"/>
    <w:basedOn w:val="CommentText"/>
    <w:next w:val="CommentText"/>
    <w:link w:val="CommentSubjectChar"/>
    <w:uiPriority w:val="99"/>
    <w:semiHidden/>
    <w:unhideWhenUsed/>
    <w:rsid w:val="00154C38"/>
    <w:rPr>
      <w:b/>
      <w:bCs/>
    </w:rPr>
  </w:style>
  <w:style w:type="character" w:customStyle="1" w:styleId="CommentSubjectChar">
    <w:name w:val="Comment Subject Char"/>
    <w:basedOn w:val="CommentTextChar"/>
    <w:link w:val="CommentSubject"/>
    <w:uiPriority w:val="99"/>
    <w:semiHidden/>
    <w:rsid w:val="00154C38"/>
    <w:rPr>
      <w:b/>
      <w:bCs/>
      <w:sz w:val="20"/>
      <w:szCs w:val="20"/>
    </w:rPr>
  </w:style>
  <w:style w:type="character" w:customStyle="1" w:styleId="Heading4Char">
    <w:name w:val="Heading 4 Char"/>
    <w:basedOn w:val="DefaultParagraphFont"/>
    <w:link w:val="Heading4"/>
    <w:uiPriority w:val="9"/>
    <w:semiHidden/>
    <w:rsid w:val="000273A8"/>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8C1718"/>
    <w:pPr>
      <w:spacing w:after="0" w:line="240" w:lineRule="auto"/>
    </w:pPr>
  </w:style>
  <w:style w:type="paragraph" w:customStyle="1" w:styleId="Default">
    <w:name w:val="Default"/>
    <w:rsid w:val="001D75C5"/>
    <w:pPr>
      <w:autoSpaceDE w:val="0"/>
      <w:autoSpaceDN w:val="0"/>
      <w:adjustRightInd w:val="0"/>
      <w:spacing w:after="0" w:line="240" w:lineRule="auto"/>
    </w:pPr>
    <w:rPr>
      <w:rFonts w:ascii="Calibri" w:hAnsi="Calibri" w:cs="Calibri"/>
      <w:color w:val="000000"/>
      <w:sz w:val="24"/>
      <w:szCs w:val="24"/>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ma.be/fr/lutte-contre-le-blanchiment-de-capitaux-et-le-financement-du-terroris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sma.be/fr/faq/politique-vie-privee-de-la-fsma" TargetMode="External"/><Relationship Id="rId4" Type="http://schemas.openxmlformats.org/officeDocument/2006/relationships/settings" Target="settings.xml"/><Relationship Id="rId9" Type="http://schemas.openxmlformats.org/officeDocument/2006/relationships/hyperlink" Target="https://www.fsma.be/fr/intermediaire-dassuran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60EAC-43CE-49C8-B0B8-5082E3EF4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1139</Words>
  <Characters>6267</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Gieles, Tim</dc:creator>
  <cp:keywords/>
  <dc:description/>
  <cp:lastModifiedBy>Bindels, Arnaud</cp:lastModifiedBy>
  <cp:revision>2</cp:revision>
  <cp:lastPrinted>2020-09-30T13:17:00Z</cp:lastPrinted>
  <dcterms:created xsi:type="dcterms:W3CDTF">2021-01-22T12:52:00Z</dcterms:created>
  <dcterms:modified xsi:type="dcterms:W3CDTF">2021-01-22T12:52:00Z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2013928693</vt:i4>
  </property>
  <property fmtid="{D5CDD505-2E9C-101B-9397-08002B2CF9AE}" pid="3" name="_NewReviewCycle">
    <vt:lpwstr/>
  </property>
  <property fmtid="{D5CDD505-2E9C-101B-9397-08002B2CF9AE}" pid="4" name="_EmailSubject">
    <vt:lpwstr>Docs</vt:lpwstr>
  </property>
  <property fmtid="{D5CDD505-2E9C-101B-9397-08002B2CF9AE}" pid="5" name="_AuthorEmail">
    <vt:lpwstr>Arnaud.Bindels@fsma.be</vt:lpwstr>
  </property>
  <property fmtid="{D5CDD505-2E9C-101B-9397-08002B2CF9AE}" pid="6" name="_AuthorEmailDisplayName">
    <vt:lpwstr>Bindels, Arnaud</vt:lpwstr>
  </property>
  <property fmtid="{D5CDD505-2E9C-101B-9397-08002B2CF9AE}" pid="7" name="_PreviousAdHocReviewCycleID">
    <vt:i4>-2096510708</vt:i4>
  </property>
</Properties>
</file>