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9653AD" w:rsidRPr="005A01D5" w:rsidRDefault="00A94B0E" w:rsidP="006C79D9">
      <w:pPr>
        <w:pBdr>
          <w:bottom w:val="single" w:sz="2" w:space="1" w:color="auto"/>
        </w:pBdr>
      </w:pPr>
      <w:r>
        <w:rPr>
          <w:noProof/>
          <w:lang w:val="fr-BE" w:eastAsia="fr-BE"/>
        </w:rPr>
        <mc:AlternateContent>
          <mc:Choice Requires="wps">
            <w:drawing>
              <wp:anchor distT="0" distB="0" distL="114300" distR="114300" simplePos="0" relativeHeight="251658240" behindDoc="0" locked="0" layoutInCell="1" allowOverlap="1" wp14:anchorId="72569019" wp14:editId="7256901A">
                <wp:simplePos x="0" y="0"/>
                <wp:positionH relativeFrom="page">
                  <wp:posOffset>3149600</wp:posOffset>
                </wp:positionH>
                <wp:positionV relativeFrom="page">
                  <wp:posOffset>720090</wp:posOffset>
                </wp:positionV>
                <wp:extent cx="3683000" cy="435610"/>
                <wp:effectExtent l="0" t="635" r="0" b="190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2E5A" w:rsidRPr="00F54DCB" w:rsidRDefault="00F4657F"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EC3A65362784487EA3E24FAE7C91556A"/>
                                </w:placeholder>
                                <w:dataBinding w:xpath="/ns1:coreProperties[1]/ns1:category[1]" w:storeItemID="{6C3C8BC8-F283-45AE-878A-BAB7291924A1}"/>
                                <w:dropDownList w:lastValue="to Communication">
                                  <w:listItem w:value="Choose an item."/>
                                  <w:listItem w:displayText="to Circular" w:value="to Circular"/>
                                  <w:listItem w:displayText="to Communication" w:value="to Communication"/>
                                  <w:listItem w:displayText="to Handbook" w:value="to Handbook"/>
                                </w:dropDownList>
                              </w:sdtPr>
                              <w:sdtEndPr/>
                              <w:sdtContent>
                                <w:r w:rsidR="00422185">
                                  <w:rPr>
                                    <w:rFonts w:ascii="Gotham Rounded Bold" w:hAnsi="Gotham Rounded Bold" w:cs="Arial"/>
                                    <w:color w:val="668899" w:themeColor="accent2"/>
                                    <w:sz w:val="32"/>
                                    <w:szCs w:val="32"/>
                                  </w:rPr>
                                  <w:t>to 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2569019"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rsidR="00302E5A" w:rsidRPr="00F54DCB" w:rsidRDefault="00F4657F"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EC3A65362784487EA3E24FAE7C91556A"/>
                          </w:placeholder>
                          <w:dataBinding w:xpath="/ns1:coreProperties[1]/ns1:category[1]" w:storeItemID="{6C3C8BC8-F283-45AE-878A-BAB7291924A1}"/>
                          <w:dropDownList w:lastValue="to Communication">
                            <w:listItem w:value="Choose an item."/>
                            <w:listItem w:displayText="to Circular" w:value="to Circular"/>
                            <w:listItem w:displayText="to Communication" w:value="to Communication"/>
                            <w:listItem w:displayText="to Handbook" w:value="to Handbook"/>
                          </w:dropDownList>
                        </w:sdtPr>
                        <w:sdtEndPr/>
                        <w:sdtContent>
                          <w:r w:rsidR="00422185">
                            <w:rPr>
                              <w:rFonts w:ascii="Gotham Rounded Bold" w:hAnsi="Gotham Rounded Bold" w:cs="Arial"/>
                              <w:color w:val="668899" w:themeColor="accent2"/>
                              <w:sz w:val="32"/>
                              <w:szCs w:val="32"/>
                            </w:rPr>
                            <w:t>to Communication</w:t>
                          </w:r>
                        </w:sdtContent>
                      </w:sdt>
                    </w:p>
                  </w:txbxContent>
                </v:textbox>
                <w10:wrap anchorx="page" anchory="page"/>
              </v:shape>
            </w:pict>
          </mc:Fallback>
        </mc:AlternateContent>
      </w:r>
    </w:p>
    <w:p w:rsidR="009653AD" w:rsidRPr="005A01D5" w:rsidRDefault="00FD7E36" w:rsidP="006C79D9">
      <w:pPr>
        <w:jc w:val="center"/>
        <w:rPr>
          <w:b/>
        </w:rPr>
      </w:pPr>
      <w:sdt>
        <w:sdtPr>
          <w:rPr>
            <w:b/>
          </w:rPr>
          <w:alias w:val="Reference"/>
          <w:tag w:val="ccDocReference"/>
          <w:id w:val="22863940"/>
          <w:placeholder>
            <w:docPart w:val="6503460C52CC4FC79668FA354FDE6FB7"/>
          </w:placeholder>
          <w:dataBinding w:xpath="/ns1:coreProperties[1]/ns0:subject[1]" w:storeItemID="{6C3C8BC8-F283-45AE-878A-BAB7291924A1}"/>
          <w:text/>
        </w:sdtPr>
        <w:sdtEndPr/>
        <w:sdtContent>
          <w:r w:rsidR="00101AAA">
            <w:rPr>
              <w:b/>
            </w:rPr>
            <w:t>Annex Communication FSMA_201</w:t>
          </w:r>
          <w:r w:rsidR="00D20CDE">
            <w:rPr>
              <w:b/>
            </w:rPr>
            <w:t>9</w:t>
          </w:r>
          <w:r w:rsidR="00943BAF">
            <w:rPr>
              <w:b/>
            </w:rPr>
            <w:t>_</w:t>
          </w:r>
          <w:r w:rsidR="00D20CDE">
            <w:rPr>
              <w:b/>
            </w:rPr>
            <w:t>07</w:t>
          </w:r>
          <w:r w:rsidR="002E2B82">
            <w:rPr>
              <w:b/>
            </w:rPr>
            <w:t>_</w:t>
          </w:r>
          <w:r w:rsidR="001507C5">
            <w:rPr>
              <w:b/>
            </w:rPr>
            <w:t>0</w:t>
          </w:r>
          <w:r w:rsidR="00D20CDE">
            <w:rPr>
              <w:b/>
            </w:rPr>
            <w:t>1</w:t>
          </w:r>
        </w:sdtContent>
      </w:sdt>
      <w:r w:rsidR="009653AD" w:rsidRPr="005A01D5">
        <w:rPr>
          <w:b/>
        </w:rPr>
        <w:t xml:space="preserve">  </w:t>
      </w:r>
      <w:proofErr w:type="gramStart"/>
      <w:r w:rsidR="00871482" w:rsidRPr="005A01D5">
        <w:rPr>
          <w:b/>
        </w:rPr>
        <w:t>of</w:t>
      </w:r>
      <w:r w:rsidR="009653AD" w:rsidRPr="005A01D5">
        <w:rPr>
          <w:b/>
        </w:rPr>
        <w:t xml:space="preserve">  </w:t>
      </w:r>
      <w:proofErr w:type="gramEnd"/>
      <w:sdt>
        <w:sdtPr>
          <w:rPr>
            <w:b/>
          </w:rPr>
          <w:id w:val="7137523"/>
          <w:placeholder>
            <w:docPart w:val="91108F8E8C184BC6B8E383DDF3DBA877"/>
          </w:placeholder>
          <w:date w:fullDate="2019-02-21T00:00:00Z">
            <w:dateFormat w:val="M/d/yyyy"/>
            <w:lid w:val="en-US"/>
            <w:storeMappedDataAs w:val="dateTime"/>
            <w:calendar w:val="gregorian"/>
          </w:date>
        </w:sdtPr>
        <w:sdtEndPr/>
        <w:sdtContent>
          <w:r w:rsidR="00D20CDE">
            <w:rPr>
              <w:b/>
              <w:lang w:val="en-US"/>
            </w:rPr>
            <w:t>2/21/2019</w:t>
          </w:r>
        </w:sdtContent>
      </w:sdt>
    </w:p>
    <w:sdt>
      <w:sdtPr>
        <w:rPr>
          <w:rFonts w:ascii="Gotham Rounded Bold" w:hAnsi="Gotham Rounded Bold" w:cs="Arial"/>
          <w:color w:val="668899" w:themeColor="accent2"/>
          <w:sz w:val="32"/>
          <w:szCs w:val="32"/>
        </w:rPr>
        <w:alias w:val="Title"/>
        <w:tag w:val="ccDocTitle"/>
        <w:id w:val="10794392"/>
        <w:placeholder>
          <w:docPart w:val="0DD65153A3244625A4DC5072225F678C"/>
        </w:placeholder>
        <w:dataBinding w:xpath="/ns1:coreProperties[1]/ns0:title[1]" w:storeItemID="{6C3C8BC8-F283-45AE-878A-BAB7291924A1}"/>
        <w:text w:multiLine="1"/>
      </w:sdtPr>
      <w:sdtEndPr/>
      <w:sdtContent>
        <w:p w:rsidR="009653AD" w:rsidRPr="005A01D5" w:rsidRDefault="00A16D54" w:rsidP="00422185">
          <w:pPr>
            <w:tabs>
              <w:tab w:val="center" w:pos="4507"/>
              <w:tab w:val="left" w:pos="7350"/>
            </w:tabs>
            <w:jc w:val="center"/>
            <w:rPr>
              <w:rFonts w:ascii="Gotham Rounded Bold" w:hAnsi="Gotham Rounded Bold" w:cs="Arial"/>
              <w:color w:val="668899" w:themeColor="accent2"/>
              <w:sz w:val="32"/>
              <w:szCs w:val="32"/>
            </w:rPr>
          </w:pPr>
          <w:r w:rsidRPr="00990B77">
            <w:rPr>
              <w:rFonts w:ascii="Gotham Rounded Bold" w:hAnsi="Gotham Rounded Bold" w:cs="Arial"/>
              <w:color w:val="668899" w:themeColor="accent2"/>
              <w:sz w:val="32"/>
              <w:szCs w:val="32"/>
            </w:rPr>
            <w:t>Provision or supply of investment services and/or activities in Belgium on a cross-border basis by foreign investment firms</w:t>
          </w:r>
          <w:r w:rsidR="00467083">
            <w:rPr>
              <w:rFonts w:ascii="Gotham Rounded Bold" w:hAnsi="Gotham Rounded Bold" w:cs="Arial"/>
              <w:color w:val="668899" w:themeColor="accent2"/>
              <w:sz w:val="32"/>
              <w:szCs w:val="32"/>
            </w:rPr>
            <w:t>.</w:t>
          </w:r>
          <w:r>
            <w:rPr>
              <w:rFonts w:ascii="Gotham Rounded Bold" w:hAnsi="Gotham Rounded Bold" w:cs="Arial"/>
              <w:color w:val="668899" w:themeColor="accent2"/>
              <w:sz w:val="32"/>
              <w:szCs w:val="32"/>
            </w:rPr>
            <w:t xml:space="preserve"> </w:t>
          </w:r>
          <w:r w:rsidRPr="00990B77">
            <w:rPr>
              <w:rFonts w:ascii="Gotham Rounded Bold" w:hAnsi="Gotham Rounded Bold" w:cs="Arial"/>
              <w:color w:val="668899" w:themeColor="accent2"/>
              <w:sz w:val="32"/>
              <w:szCs w:val="32"/>
            </w:rPr>
            <w:t>Articles 12 and 14 of the Belgian Law of 25 October 2016</w:t>
          </w:r>
        </w:p>
      </w:sdtContent>
    </w:sdt>
    <w:p w:rsidR="005E36AF" w:rsidRDefault="005E36AF" w:rsidP="005E36AF">
      <w:pPr>
        <w:pStyle w:val="NoSpacing"/>
        <w:pBdr>
          <w:top w:val="single" w:sz="2" w:space="1" w:color="auto"/>
        </w:pBdr>
        <w:spacing w:before="120"/>
        <w:jc w:val="both"/>
        <w:rPr>
          <w:lang w:val="en-US"/>
        </w:rPr>
      </w:pPr>
    </w:p>
    <w:p w:rsidR="006C79D9" w:rsidRPr="00D57820" w:rsidRDefault="005E36AF" w:rsidP="00D57820">
      <w:pPr>
        <w:pStyle w:val="NoSpacing"/>
        <w:pBdr>
          <w:top w:val="single" w:sz="2" w:space="1" w:color="auto"/>
        </w:pBdr>
        <w:spacing w:before="120"/>
        <w:jc w:val="both"/>
        <w:rPr>
          <w:b/>
          <w:lang w:val="en-US"/>
        </w:rPr>
      </w:pPr>
      <w:r w:rsidRPr="006E4648">
        <w:rPr>
          <w:lang w:val="en-US"/>
        </w:rPr>
        <w:t xml:space="preserve">This form should be </w:t>
      </w:r>
      <w:r w:rsidR="006869D7">
        <w:rPr>
          <w:lang w:val="en-US"/>
        </w:rPr>
        <w:t>completed</w:t>
      </w:r>
      <w:r w:rsidR="009B014E">
        <w:rPr>
          <w:lang w:val="en-US"/>
        </w:rPr>
        <w:t xml:space="preserve"> </w:t>
      </w:r>
      <w:r w:rsidRPr="006E4648">
        <w:rPr>
          <w:lang w:val="en-US"/>
        </w:rPr>
        <w:t>in case of notification and</w:t>
      </w:r>
      <w:r>
        <w:rPr>
          <w:lang w:val="en-US"/>
        </w:rPr>
        <w:t xml:space="preserve"> </w:t>
      </w:r>
      <w:r w:rsidRPr="006E4648">
        <w:rPr>
          <w:lang w:val="en-US"/>
        </w:rPr>
        <w:t>o</w:t>
      </w:r>
      <w:r>
        <w:rPr>
          <w:lang w:val="en-US"/>
        </w:rPr>
        <w:t>f</w:t>
      </w:r>
      <w:r w:rsidRPr="006E4648">
        <w:rPr>
          <w:lang w:val="en-US"/>
        </w:rPr>
        <w:t xml:space="preserve"> modification of an existing notification regarding the </w:t>
      </w:r>
      <w:r>
        <w:rPr>
          <w:lang w:val="en-US"/>
        </w:rPr>
        <w:t>provision of investment services and</w:t>
      </w:r>
      <w:r w:rsidR="009E5C34">
        <w:rPr>
          <w:lang w:val="en-US"/>
        </w:rPr>
        <w:t>/or the exercise of investment</w:t>
      </w:r>
      <w:r>
        <w:rPr>
          <w:lang w:val="en-US"/>
        </w:rPr>
        <w:t xml:space="preserve"> activities</w:t>
      </w:r>
      <w:r w:rsidRPr="006E4648">
        <w:rPr>
          <w:lang w:val="en-US"/>
        </w:rPr>
        <w:t xml:space="preserve"> in </w:t>
      </w:r>
      <w:r>
        <w:rPr>
          <w:lang w:val="en-US"/>
        </w:rPr>
        <w:t>Belgium</w:t>
      </w:r>
      <w:r w:rsidRPr="006E4648">
        <w:rPr>
          <w:lang w:val="en-US"/>
        </w:rPr>
        <w:t>. In the latter case</w:t>
      </w:r>
      <w:r>
        <w:rPr>
          <w:lang w:val="en-US"/>
        </w:rPr>
        <w:t xml:space="preserve">, </w:t>
      </w:r>
      <w:r w:rsidRPr="006E4648">
        <w:rPr>
          <w:lang w:val="en-US"/>
        </w:rPr>
        <w:t>please comp</w:t>
      </w:r>
      <w:r>
        <w:rPr>
          <w:lang w:val="en-US"/>
        </w:rPr>
        <w:t xml:space="preserve">lete only the parts of the form </w:t>
      </w:r>
      <w:r w:rsidRPr="006E4648">
        <w:rPr>
          <w:lang w:val="en-US"/>
        </w:rPr>
        <w:t xml:space="preserve">which are relevant for the notified changes. </w:t>
      </w:r>
      <w:r w:rsidR="00327401">
        <w:rPr>
          <w:b/>
          <w:lang w:val="en-US"/>
        </w:rPr>
        <w:t xml:space="preserve">If the </w:t>
      </w:r>
      <w:r w:rsidRPr="00CB77DB">
        <w:rPr>
          <w:b/>
          <w:lang w:val="en-US"/>
        </w:rPr>
        <w:t>changes pur</w:t>
      </w:r>
      <w:r w:rsidR="00327401">
        <w:rPr>
          <w:b/>
          <w:lang w:val="en-US"/>
        </w:rPr>
        <w:t>port to the investment services and/or</w:t>
      </w:r>
      <w:r w:rsidRPr="00CB77DB">
        <w:rPr>
          <w:b/>
          <w:lang w:val="en-US"/>
        </w:rPr>
        <w:t xml:space="preserve"> act</w:t>
      </w:r>
      <w:r>
        <w:rPr>
          <w:b/>
          <w:lang w:val="en-US"/>
        </w:rPr>
        <w:t xml:space="preserve">ivities </w:t>
      </w:r>
      <w:r w:rsidR="00327401">
        <w:rPr>
          <w:b/>
          <w:lang w:val="en-US"/>
        </w:rPr>
        <w:t>and/</w:t>
      </w:r>
      <w:r>
        <w:rPr>
          <w:b/>
          <w:lang w:val="en-US"/>
        </w:rPr>
        <w:t xml:space="preserve">or </w:t>
      </w:r>
      <w:r w:rsidR="009B014E">
        <w:rPr>
          <w:b/>
          <w:lang w:val="en-US"/>
        </w:rPr>
        <w:t>solicited</w:t>
      </w:r>
      <w:r>
        <w:rPr>
          <w:b/>
          <w:lang w:val="en-US"/>
        </w:rPr>
        <w:t xml:space="preserve"> investors</w:t>
      </w:r>
      <w:r w:rsidRPr="00CB77DB">
        <w:rPr>
          <w:b/>
          <w:lang w:val="en-US"/>
        </w:rPr>
        <w:t>, please l</w:t>
      </w:r>
      <w:r>
        <w:rPr>
          <w:b/>
          <w:lang w:val="en-US"/>
        </w:rPr>
        <w:t>ist all the investment services and/or</w:t>
      </w:r>
      <w:r w:rsidRPr="00CB77DB">
        <w:rPr>
          <w:b/>
          <w:lang w:val="en-US"/>
        </w:rPr>
        <w:t xml:space="preserve"> acti</w:t>
      </w:r>
      <w:r>
        <w:rPr>
          <w:b/>
          <w:lang w:val="en-US"/>
        </w:rPr>
        <w:t xml:space="preserve">vities the firm </w:t>
      </w:r>
      <w:r w:rsidR="009E5C34">
        <w:rPr>
          <w:b/>
          <w:lang w:val="en-US"/>
        </w:rPr>
        <w:t>intends to</w:t>
      </w:r>
      <w:r w:rsidR="009B014E">
        <w:rPr>
          <w:b/>
          <w:lang w:val="en-US"/>
        </w:rPr>
        <w:t xml:space="preserve"> </w:t>
      </w:r>
      <w:r>
        <w:rPr>
          <w:b/>
          <w:lang w:val="en-US"/>
        </w:rPr>
        <w:t xml:space="preserve">provide and the investors the firm </w:t>
      </w:r>
      <w:r w:rsidR="009E5C34">
        <w:rPr>
          <w:b/>
          <w:lang w:val="en-US"/>
        </w:rPr>
        <w:t>intends to</w:t>
      </w:r>
      <w:r w:rsidR="009B014E">
        <w:rPr>
          <w:b/>
          <w:lang w:val="en-US"/>
        </w:rPr>
        <w:t xml:space="preserve"> solicit</w:t>
      </w:r>
      <w:r>
        <w:rPr>
          <w:b/>
          <w:lang w:val="en-US"/>
        </w:rPr>
        <w:t xml:space="preserve"> in the future.</w:t>
      </w:r>
    </w:p>
    <w:p w:rsidR="00422185" w:rsidRPr="00C43BDD" w:rsidRDefault="00422185" w:rsidP="00422185">
      <w:pPr>
        <w:pStyle w:val="Heading1"/>
        <w:spacing w:before="240" w:after="240"/>
        <w:ind w:left="431" w:hanging="431"/>
        <w:rPr>
          <w:lang w:val="en-US"/>
        </w:rPr>
      </w:pPr>
      <w:r w:rsidRPr="00C43BDD">
        <w:rPr>
          <w:lang w:val="en-US"/>
        </w:rPr>
        <w:t>General information</w:t>
      </w:r>
    </w:p>
    <w:tbl>
      <w:tblPr>
        <w:tblStyle w:val="TableGrid"/>
        <w:tblW w:w="9356" w:type="dxa"/>
        <w:tblInd w:w="-5" w:type="dxa"/>
        <w:tblLook w:val="01E0" w:firstRow="1" w:lastRow="1" w:firstColumn="1" w:lastColumn="1" w:noHBand="0" w:noVBand="0"/>
      </w:tblPr>
      <w:tblGrid>
        <w:gridCol w:w="4570"/>
        <w:gridCol w:w="4786"/>
      </w:tblGrid>
      <w:tr w:rsidR="00422185" w:rsidRPr="00CD61CA" w:rsidTr="004F1D44">
        <w:trPr>
          <w:trHeight w:val="397"/>
        </w:trPr>
        <w:tc>
          <w:tcPr>
            <w:tcW w:w="4570" w:type="dxa"/>
          </w:tcPr>
          <w:p w:rsidR="00422185" w:rsidRPr="007E301F" w:rsidRDefault="00422185" w:rsidP="00DA11AE">
            <w:pPr>
              <w:spacing w:beforeLines="60" w:before="144" w:afterLines="60" w:after="144"/>
              <w:jc w:val="both"/>
              <w:rPr>
                <w:rFonts w:cs="Arial"/>
              </w:rPr>
            </w:pPr>
            <w:r w:rsidRPr="007E301F">
              <w:rPr>
                <w:rFonts w:cs="Arial"/>
              </w:rPr>
              <w:t>Date of notification</w:t>
            </w:r>
          </w:p>
        </w:tc>
        <w:tc>
          <w:tcPr>
            <w:tcW w:w="4786" w:type="dxa"/>
            <w:shd w:val="clear" w:color="auto" w:fill="auto"/>
          </w:tcPr>
          <w:p w:rsidR="00422185" w:rsidRPr="00C43BDD" w:rsidRDefault="000B5BA4" w:rsidP="00DA11AE">
            <w:pPr>
              <w:spacing w:beforeLines="60" w:before="144" w:afterLines="60" w:after="144"/>
              <w:rPr>
                <w:rFonts w:cs="Arial"/>
                <w:lang w:val="en-US"/>
              </w:rPr>
            </w:pPr>
            <w:r w:rsidRPr="000B5BA4">
              <w:rPr>
                <w:rFonts w:cs="Arial"/>
              </w:rPr>
              <w:t>[Date]</w:t>
            </w:r>
          </w:p>
        </w:tc>
      </w:tr>
      <w:tr w:rsidR="00422185" w:rsidRPr="00A10BE4" w:rsidTr="004F1D44">
        <w:trPr>
          <w:trHeight w:val="397"/>
        </w:trPr>
        <w:tc>
          <w:tcPr>
            <w:tcW w:w="4570" w:type="dxa"/>
          </w:tcPr>
          <w:p w:rsidR="00422185" w:rsidRPr="007E301F" w:rsidRDefault="00422185" w:rsidP="00DA11AE">
            <w:pPr>
              <w:spacing w:beforeLines="60" w:before="144" w:afterLines="60" w:after="144"/>
              <w:jc w:val="both"/>
              <w:rPr>
                <w:rFonts w:cs="Arial"/>
              </w:rPr>
            </w:pPr>
            <w:r w:rsidRPr="007E301F">
              <w:rPr>
                <w:rFonts w:cs="Arial"/>
              </w:rPr>
              <w:t>Type of notification</w:t>
            </w:r>
          </w:p>
        </w:tc>
        <w:tc>
          <w:tcPr>
            <w:tcW w:w="4786" w:type="dxa"/>
            <w:shd w:val="clear" w:color="auto" w:fill="auto"/>
          </w:tcPr>
          <w:p w:rsidR="00422185" w:rsidRPr="00C43BDD" w:rsidRDefault="00422185" w:rsidP="00DA11AE">
            <w:pPr>
              <w:spacing w:beforeLines="60" w:before="144" w:afterLines="60" w:after="144"/>
              <w:rPr>
                <w:rFonts w:cs="Arial"/>
                <w:lang w:val="en-US"/>
              </w:rPr>
            </w:pPr>
            <w:r w:rsidRPr="00C43BDD">
              <w:rPr>
                <w:rFonts w:cs="Arial"/>
                <w:lang w:val="en-US"/>
              </w:rPr>
              <w:t xml:space="preserve">New notification </w:t>
            </w:r>
            <w:r>
              <w:rPr>
                <w:rFonts w:cs="Arial"/>
                <w:lang w:val="en-US"/>
              </w:rPr>
              <w:t xml:space="preserve">/ </w:t>
            </w:r>
            <w:r w:rsidRPr="00C43BDD">
              <w:rPr>
                <w:rFonts w:cs="Arial"/>
                <w:lang w:val="en-US"/>
              </w:rPr>
              <w:t xml:space="preserve">Modification of </w:t>
            </w:r>
            <w:r>
              <w:rPr>
                <w:rFonts w:cs="Arial"/>
                <w:lang w:val="en-US"/>
              </w:rPr>
              <w:t>notification</w:t>
            </w:r>
          </w:p>
        </w:tc>
      </w:tr>
      <w:tr w:rsidR="00422185" w:rsidRPr="00C43BDD" w:rsidTr="004F1D44">
        <w:trPr>
          <w:trHeight w:val="397"/>
        </w:trPr>
        <w:tc>
          <w:tcPr>
            <w:tcW w:w="4570" w:type="dxa"/>
            <w:tcBorders>
              <w:bottom w:val="single" w:sz="4" w:space="0" w:color="auto"/>
            </w:tcBorders>
            <w:vAlign w:val="center"/>
          </w:tcPr>
          <w:p w:rsidR="00422185" w:rsidRPr="007E301F" w:rsidRDefault="002E2B82" w:rsidP="00DA11AE">
            <w:pPr>
              <w:spacing w:beforeLines="60" w:before="144" w:afterLines="60" w:after="144"/>
              <w:rPr>
                <w:rFonts w:cs="Arial"/>
                <w:lang w:val="en-US"/>
              </w:rPr>
            </w:pPr>
            <w:r>
              <w:rPr>
                <w:rFonts w:cs="Arial"/>
                <w:lang w:val="en-US"/>
              </w:rPr>
              <w:t xml:space="preserve">Home </w:t>
            </w:r>
            <w:r w:rsidR="00422185" w:rsidRPr="007E301F">
              <w:rPr>
                <w:rFonts w:cs="Arial"/>
                <w:lang w:val="en-US"/>
              </w:rPr>
              <w:t>State of the investment firm</w:t>
            </w:r>
          </w:p>
        </w:tc>
        <w:tc>
          <w:tcPr>
            <w:tcW w:w="4786" w:type="dxa"/>
            <w:tcBorders>
              <w:bottom w:val="single" w:sz="4" w:space="0" w:color="auto"/>
            </w:tcBorders>
            <w:shd w:val="clear" w:color="auto" w:fill="auto"/>
          </w:tcPr>
          <w:p w:rsidR="00422185" w:rsidRPr="00C43BDD" w:rsidRDefault="00422185" w:rsidP="00DA11AE">
            <w:pPr>
              <w:spacing w:beforeLines="60" w:before="144" w:afterLines="60" w:after="144"/>
              <w:rPr>
                <w:rFonts w:cs="Arial"/>
                <w:lang w:val="en-US"/>
              </w:rPr>
            </w:pPr>
          </w:p>
        </w:tc>
      </w:tr>
      <w:tr w:rsidR="005F417F" w:rsidRPr="00C43BDD" w:rsidTr="004F1D44">
        <w:trPr>
          <w:trHeight w:val="397"/>
        </w:trPr>
        <w:tc>
          <w:tcPr>
            <w:tcW w:w="4570" w:type="dxa"/>
            <w:tcBorders>
              <w:bottom w:val="single" w:sz="4" w:space="0" w:color="auto"/>
            </w:tcBorders>
            <w:vAlign w:val="center"/>
          </w:tcPr>
          <w:p w:rsidR="005F417F" w:rsidRDefault="005F417F" w:rsidP="00DA11AE">
            <w:pPr>
              <w:spacing w:beforeLines="60" w:before="144" w:afterLines="60" w:after="144"/>
              <w:rPr>
                <w:rFonts w:cs="Arial"/>
                <w:lang w:val="en-US"/>
              </w:rPr>
            </w:pPr>
            <w:r>
              <w:rPr>
                <w:rFonts w:cs="Arial"/>
                <w:lang w:val="en-US"/>
              </w:rPr>
              <w:t>Type of status</w:t>
            </w:r>
          </w:p>
        </w:tc>
        <w:tc>
          <w:tcPr>
            <w:tcW w:w="4786" w:type="dxa"/>
            <w:tcBorders>
              <w:bottom w:val="single" w:sz="4" w:space="0" w:color="auto"/>
            </w:tcBorders>
            <w:shd w:val="clear" w:color="auto" w:fill="auto"/>
          </w:tcPr>
          <w:p w:rsidR="005F417F" w:rsidRDefault="00FD7E36" w:rsidP="00DA11AE">
            <w:pPr>
              <w:spacing w:beforeLines="60" w:before="144" w:afterLines="60" w:after="144"/>
              <w:ind w:left="424" w:hanging="424"/>
              <w:rPr>
                <w:rFonts w:cs="Arial"/>
                <w:lang w:val="en-US"/>
              </w:rPr>
            </w:pPr>
            <w:sdt>
              <w:sdtPr>
                <w:rPr>
                  <w:rFonts w:cs="Arial"/>
                  <w:lang w:val="en-US"/>
                </w:rPr>
                <w:id w:val="-1786267044"/>
                <w14:checkbox>
                  <w14:checked w14:val="0"/>
                  <w14:checkedState w14:val="2612" w14:font="MS Gothic"/>
                  <w14:uncheckedState w14:val="2610" w14:font="MS Gothic"/>
                </w14:checkbox>
              </w:sdtPr>
              <w:sdtEndPr/>
              <w:sdtContent>
                <w:r w:rsidR="005F417F">
                  <w:rPr>
                    <w:rFonts w:ascii="MS Gothic" w:eastAsia="MS Gothic" w:hAnsi="MS Gothic" w:cs="Arial" w:hint="eastAsia"/>
                    <w:lang w:val="en-US"/>
                  </w:rPr>
                  <w:t>☐</w:t>
                </w:r>
              </w:sdtContent>
            </w:sdt>
            <w:r w:rsidR="005F417F">
              <w:rPr>
                <w:rFonts w:cs="Arial"/>
                <w:lang w:val="en-US"/>
              </w:rPr>
              <w:t xml:space="preserve"> </w:t>
            </w:r>
            <w:r w:rsidR="00A93AAB">
              <w:rPr>
                <w:rFonts w:cs="Arial"/>
                <w:lang w:val="en-US"/>
              </w:rPr>
              <w:tab/>
            </w:r>
            <w:r w:rsidR="003232C4">
              <w:rPr>
                <w:rFonts w:cs="Arial"/>
                <w:lang w:val="en-US"/>
              </w:rPr>
              <w:t>Non-EEA</w:t>
            </w:r>
            <w:r w:rsidR="005F417F">
              <w:rPr>
                <w:rFonts w:cs="Arial"/>
                <w:lang w:val="en-US"/>
              </w:rPr>
              <w:t xml:space="preserve"> investment firm</w:t>
            </w:r>
          </w:p>
          <w:p w:rsidR="005F417F" w:rsidRDefault="00FD7E36" w:rsidP="00DA11AE">
            <w:pPr>
              <w:spacing w:beforeLines="60" w:before="144" w:afterLines="60" w:after="144"/>
              <w:ind w:left="424" w:hanging="424"/>
              <w:rPr>
                <w:rFonts w:cs="Arial"/>
                <w:lang w:val="en-US"/>
              </w:rPr>
            </w:pPr>
            <w:sdt>
              <w:sdtPr>
                <w:rPr>
                  <w:rFonts w:cs="Arial"/>
                  <w:lang w:val="en-US"/>
                </w:rPr>
                <w:id w:val="-693919653"/>
                <w14:checkbox>
                  <w14:checked w14:val="0"/>
                  <w14:checkedState w14:val="2612" w14:font="MS Gothic"/>
                  <w14:uncheckedState w14:val="2610" w14:font="MS Gothic"/>
                </w14:checkbox>
              </w:sdtPr>
              <w:sdtEndPr/>
              <w:sdtContent>
                <w:r w:rsidR="005F417F">
                  <w:rPr>
                    <w:rFonts w:ascii="MS Gothic" w:eastAsia="MS Gothic" w:hAnsi="MS Gothic" w:cs="Arial" w:hint="eastAsia"/>
                    <w:lang w:val="en-US"/>
                  </w:rPr>
                  <w:t>☐</w:t>
                </w:r>
              </w:sdtContent>
            </w:sdt>
            <w:r w:rsidR="00A93AAB">
              <w:rPr>
                <w:rFonts w:cs="Arial"/>
                <w:lang w:val="en-US"/>
              </w:rPr>
              <w:t xml:space="preserve"> </w:t>
            </w:r>
            <w:r w:rsidR="00A93AAB">
              <w:rPr>
                <w:rFonts w:cs="Arial"/>
                <w:lang w:val="en-US"/>
              </w:rPr>
              <w:tab/>
            </w:r>
            <w:r w:rsidR="003232C4">
              <w:t>EEA</w:t>
            </w:r>
            <w:r w:rsidR="005F417F" w:rsidRPr="000C286D">
              <w:t xml:space="preserve"> investment firms exempted from the Directive 2014/65/UE</w:t>
            </w:r>
            <w:r w:rsidR="005F417F">
              <w:t xml:space="preserve"> pursuant to article 2, §</w:t>
            </w:r>
            <w:r w:rsidR="00A93AAB">
              <w:t> </w:t>
            </w:r>
            <w:r w:rsidR="005F417F">
              <w:t>1, l) and m) and article 3 of the Directive</w:t>
            </w:r>
          </w:p>
        </w:tc>
      </w:tr>
    </w:tbl>
    <w:p w:rsidR="00422185" w:rsidRPr="00C43BDD" w:rsidRDefault="00422185" w:rsidP="00422185">
      <w:pPr>
        <w:pStyle w:val="Heading1"/>
        <w:spacing w:before="240" w:after="240"/>
        <w:ind w:left="431" w:hanging="431"/>
        <w:rPr>
          <w:rFonts w:cs="Arial"/>
          <w:lang w:val="en-US"/>
        </w:rPr>
      </w:pPr>
      <w:r>
        <w:rPr>
          <w:rFonts w:cs="Arial"/>
          <w:lang w:val="en-US"/>
        </w:rPr>
        <w:t>Details of the investment firm</w:t>
      </w:r>
    </w:p>
    <w:tbl>
      <w:tblPr>
        <w:tblStyle w:val="TableGrid"/>
        <w:tblW w:w="9356" w:type="dxa"/>
        <w:tblInd w:w="-5" w:type="dxa"/>
        <w:tblLook w:val="01E0" w:firstRow="1" w:lastRow="1" w:firstColumn="1" w:lastColumn="1" w:noHBand="0" w:noVBand="0"/>
      </w:tblPr>
      <w:tblGrid>
        <w:gridCol w:w="4570"/>
        <w:gridCol w:w="4786"/>
      </w:tblGrid>
      <w:tr w:rsidR="00422185" w:rsidRPr="00A10BE4" w:rsidTr="004F1D44">
        <w:trPr>
          <w:trHeight w:val="397"/>
        </w:trPr>
        <w:tc>
          <w:tcPr>
            <w:tcW w:w="4570" w:type="dxa"/>
            <w:tcBorders>
              <w:top w:val="single" w:sz="4" w:space="0" w:color="auto"/>
              <w:bottom w:val="single" w:sz="4" w:space="0" w:color="auto"/>
              <w:right w:val="single" w:sz="4" w:space="0" w:color="auto"/>
            </w:tcBorders>
          </w:tcPr>
          <w:p w:rsidR="00422185" w:rsidRPr="00CB77DB" w:rsidRDefault="00422185" w:rsidP="00A16D54">
            <w:pPr>
              <w:spacing w:before="120" w:after="120"/>
              <w:rPr>
                <w:rFonts w:cs="Arial"/>
                <w:lang w:val="en-US"/>
              </w:rPr>
            </w:pPr>
            <w:r w:rsidRPr="00CB77DB">
              <w:rPr>
                <w:rFonts w:cs="Arial"/>
                <w:lang w:val="en-US"/>
              </w:rPr>
              <w:t xml:space="preserve">Name </w:t>
            </w:r>
          </w:p>
        </w:tc>
        <w:tc>
          <w:tcPr>
            <w:tcW w:w="4786" w:type="dxa"/>
            <w:tcBorders>
              <w:top w:val="single" w:sz="4" w:space="0" w:color="auto"/>
              <w:left w:val="single" w:sz="4" w:space="0" w:color="auto"/>
              <w:bottom w:val="single" w:sz="4" w:space="0" w:color="auto"/>
            </w:tcBorders>
            <w:shd w:val="clear" w:color="auto" w:fill="auto"/>
          </w:tcPr>
          <w:p w:rsidR="00422185" w:rsidRPr="00A93AAB" w:rsidRDefault="00422185" w:rsidP="004F1D44">
            <w:pPr>
              <w:spacing w:before="120" w:after="120"/>
              <w:rPr>
                <w:rFonts w:cs="Arial"/>
                <w:lang w:val="en-US"/>
              </w:rPr>
            </w:pPr>
          </w:p>
        </w:tc>
      </w:tr>
      <w:tr w:rsidR="00422185" w:rsidRPr="009662AF" w:rsidTr="004F1D44">
        <w:trPr>
          <w:trHeight w:val="397"/>
        </w:trPr>
        <w:tc>
          <w:tcPr>
            <w:tcW w:w="4570" w:type="dxa"/>
            <w:tcBorders>
              <w:top w:val="single" w:sz="4" w:space="0" w:color="auto"/>
              <w:left w:val="single" w:sz="4" w:space="0" w:color="auto"/>
              <w:bottom w:val="single" w:sz="4" w:space="0" w:color="auto"/>
              <w:right w:val="single" w:sz="4" w:space="0" w:color="auto"/>
            </w:tcBorders>
            <w:vAlign w:val="center"/>
          </w:tcPr>
          <w:p w:rsidR="00422185" w:rsidRPr="00C43BDD" w:rsidRDefault="00422185" w:rsidP="004F1D44">
            <w:pPr>
              <w:spacing w:before="120" w:after="120"/>
              <w:rPr>
                <w:rFonts w:cs="Arial"/>
              </w:rPr>
            </w:pPr>
            <w:r w:rsidRPr="00C43BDD">
              <w:rPr>
                <w:rFonts w:cs="Arial"/>
              </w:rPr>
              <w:t xml:space="preserve">Trading </w:t>
            </w:r>
            <w:r>
              <w:rPr>
                <w:rFonts w:cs="Arial"/>
              </w:rPr>
              <w:t>n</w:t>
            </w:r>
            <w:r w:rsidRPr="00C43BDD">
              <w:rPr>
                <w:rFonts w:cs="Arial"/>
              </w:rPr>
              <w:t>ame</w:t>
            </w:r>
          </w:p>
        </w:tc>
        <w:tc>
          <w:tcPr>
            <w:tcW w:w="4786" w:type="dxa"/>
            <w:tcBorders>
              <w:top w:val="single" w:sz="4" w:space="0" w:color="auto"/>
              <w:left w:val="single" w:sz="4" w:space="0" w:color="auto"/>
              <w:bottom w:val="single" w:sz="4" w:space="0" w:color="auto"/>
            </w:tcBorders>
            <w:shd w:val="clear" w:color="auto" w:fill="auto"/>
            <w:vAlign w:val="center"/>
          </w:tcPr>
          <w:p w:rsidR="00422185" w:rsidRPr="00A93AAB" w:rsidRDefault="00422185" w:rsidP="004F1D44">
            <w:pPr>
              <w:spacing w:before="120" w:after="120"/>
              <w:rPr>
                <w:rFonts w:cs="Arial"/>
              </w:rPr>
            </w:pPr>
          </w:p>
        </w:tc>
      </w:tr>
      <w:tr w:rsidR="00422185" w:rsidRPr="009662AF" w:rsidTr="004F1D44">
        <w:trPr>
          <w:trHeight w:val="397"/>
        </w:trPr>
        <w:tc>
          <w:tcPr>
            <w:tcW w:w="4570" w:type="dxa"/>
            <w:tcBorders>
              <w:top w:val="single" w:sz="4" w:space="0" w:color="auto"/>
              <w:left w:val="single" w:sz="4" w:space="0" w:color="auto"/>
              <w:bottom w:val="single" w:sz="4" w:space="0" w:color="auto"/>
              <w:right w:val="single" w:sz="4" w:space="0" w:color="auto"/>
            </w:tcBorders>
            <w:vAlign w:val="center"/>
          </w:tcPr>
          <w:p w:rsidR="00422185" w:rsidRPr="00C43BDD" w:rsidRDefault="00422185" w:rsidP="004F1D44">
            <w:pPr>
              <w:spacing w:before="120" w:after="120"/>
              <w:rPr>
                <w:rFonts w:cs="Arial"/>
              </w:rPr>
            </w:pPr>
            <w:r w:rsidRPr="00C43BDD">
              <w:rPr>
                <w:rFonts w:cs="Arial"/>
              </w:rPr>
              <w:t>Address</w:t>
            </w:r>
          </w:p>
        </w:tc>
        <w:tc>
          <w:tcPr>
            <w:tcW w:w="4786" w:type="dxa"/>
            <w:tcBorders>
              <w:top w:val="single" w:sz="4" w:space="0" w:color="auto"/>
              <w:left w:val="single" w:sz="4" w:space="0" w:color="auto"/>
              <w:bottom w:val="single" w:sz="4" w:space="0" w:color="auto"/>
            </w:tcBorders>
            <w:shd w:val="clear" w:color="auto" w:fill="auto"/>
            <w:vAlign w:val="center"/>
          </w:tcPr>
          <w:p w:rsidR="00422185" w:rsidRPr="00A93AAB" w:rsidRDefault="00422185" w:rsidP="004F1D44">
            <w:pPr>
              <w:spacing w:before="120" w:after="120"/>
              <w:rPr>
                <w:rFonts w:cs="Arial"/>
              </w:rPr>
            </w:pPr>
          </w:p>
        </w:tc>
      </w:tr>
      <w:tr w:rsidR="00422185" w:rsidRPr="009662AF" w:rsidTr="004F1D44">
        <w:trPr>
          <w:trHeight w:val="397"/>
        </w:trPr>
        <w:tc>
          <w:tcPr>
            <w:tcW w:w="4570" w:type="dxa"/>
            <w:tcBorders>
              <w:top w:val="single" w:sz="4" w:space="0" w:color="auto"/>
              <w:left w:val="single" w:sz="4" w:space="0" w:color="auto"/>
              <w:bottom w:val="single" w:sz="4" w:space="0" w:color="auto"/>
              <w:right w:val="single" w:sz="4" w:space="0" w:color="auto"/>
            </w:tcBorders>
            <w:vAlign w:val="center"/>
          </w:tcPr>
          <w:p w:rsidR="00422185" w:rsidRPr="00C43BDD" w:rsidRDefault="00422185" w:rsidP="004F1D44">
            <w:pPr>
              <w:spacing w:before="120" w:after="120"/>
              <w:rPr>
                <w:rFonts w:cs="Arial"/>
              </w:rPr>
            </w:pPr>
            <w:r w:rsidRPr="00C43BDD">
              <w:rPr>
                <w:rFonts w:cs="Arial"/>
              </w:rPr>
              <w:t>Telephone number</w:t>
            </w:r>
          </w:p>
        </w:tc>
        <w:tc>
          <w:tcPr>
            <w:tcW w:w="4786" w:type="dxa"/>
            <w:tcBorders>
              <w:top w:val="single" w:sz="4" w:space="0" w:color="auto"/>
              <w:left w:val="single" w:sz="4" w:space="0" w:color="auto"/>
              <w:bottom w:val="single" w:sz="4" w:space="0" w:color="auto"/>
            </w:tcBorders>
            <w:shd w:val="clear" w:color="auto" w:fill="auto"/>
            <w:vAlign w:val="center"/>
          </w:tcPr>
          <w:p w:rsidR="00422185" w:rsidRPr="00A93AAB" w:rsidRDefault="00422185" w:rsidP="004F1D44">
            <w:pPr>
              <w:spacing w:before="120" w:after="120"/>
              <w:rPr>
                <w:rFonts w:cs="Arial"/>
              </w:rPr>
            </w:pPr>
          </w:p>
        </w:tc>
      </w:tr>
      <w:tr w:rsidR="00422185" w:rsidRPr="009662AF" w:rsidTr="004F1D44">
        <w:trPr>
          <w:trHeight w:val="397"/>
        </w:trPr>
        <w:tc>
          <w:tcPr>
            <w:tcW w:w="4570" w:type="dxa"/>
            <w:tcBorders>
              <w:top w:val="single" w:sz="4" w:space="0" w:color="auto"/>
              <w:left w:val="single" w:sz="4" w:space="0" w:color="auto"/>
              <w:bottom w:val="single" w:sz="4" w:space="0" w:color="auto"/>
              <w:right w:val="single" w:sz="4" w:space="0" w:color="auto"/>
            </w:tcBorders>
            <w:vAlign w:val="center"/>
          </w:tcPr>
          <w:p w:rsidR="00422185" w:rsidRPr="00C43BDD" w:rsidRDefault="00422185" w:rsidP="004F1D44">
            <w:pPr>
              <w:spacing w:before="120" w:after="120"/>
              <w:rPr>
                <w:rFonts w:cs="Arial"/>
              </w:rPr>
            </w:pPr>
            <w:r w:rsidRPr="00C43BDD">
              <w:rPr>
                <w:rFonts w:cs="Arial"/>
              </w:rPr>
              <w:t>Email</w:t>
            </w:r>
          </w:p>
        </w:tc>
        <w:tc>
          <w:tcPr>
            <w:tcW w:w="4786" w:type="dxa"/>
            <w:tcBorders>
              <w:top w:val="single" w:sz="4" w:space="0" w:color="auto"/>
              <w:left w:val="single" w:sz="4" w:space="0" w:color="auto"/>
              <w:bottom w:val="single" w:sz="4" w:space="0" w:color="auto"/>
            </w:tcBorders>
            <w:shd w:val="clear" w:color="auto" w:fill="auto"/>
            <w:vAlign w:val="center"/>
          </w:tcPr>
          <w:p w:rsidR="00422185" w:rsidRPr="00A93AAB" w:rsidRDefault="00422185" w:rsidP="004F1D44">
            <w:pPr>
              <w:spacing w:before="120" w:after="120"/>
              <w:rPr>
                <w:rFonts w:cs="Arial"/>
              </w:rPr>
            </w:pPr>
          </w:p>
        </w:tc>
      </w:tr>
      <w:tr w:rsidR="006D5645" w:rsidRPr="009662AF" w:rsidTr="004F1D44">
        <w:trPr>
          <w:trHeight w:val="397"/>
        </w:trPr>
        <w:tc>
          <w:tcPr>
            <w:tcW w:w="4570" w:type="dxa"/>
            <w:tcBorders>
              <w:top w:val="single" w:sz="4" w:space="0" w:color="auto"/>
              <w:left w:val="single" w:sz="4" w:space="0" w:color="auto"/>
              <w:bottom w:val="single" w:sz="4" w:space="0" w:color="auto"/>
              <w:right w:val="single" w:sz="4" w:space="0" w:color="auto"/>
            </w:tcBorders>
            <w:vAlign w:val="center"/>
          </w:tcPr>
          <w:p w:rsidR="006D5645" w:rsidRPr="00C43BDD" w:rsidRDefault="006D5645" w:rsidP="00A16D54">
            <w:pPr>
              <w:spacing w:before="120" w:after="120"/>
              <w:rPr>
                <w:rFonts w:cs="Arial"/>
              </w:rPr>
            </w:pPr>
            <w:r w:rsidRPr="00CC0EFA">
              <w:rPr>
                <w:rFonts w:cs="Arial"/>
                <w:lang w:val="en-US"/>
              </w:rPr>
              <w:t xml:space="preserve">Name of the contact person </w:t>
            </w:r>
          </w:p>
        </w:tc>
        <w:tc>
          <w:tcPr>
            <w:tcW w:w="4786" w:type="dxa"/>
            <w:tcBorders>
              <w:top w:val="single" w:sz="4" w:space="0" w:color="auto"/>
              <w:left w:val="single" w:sz="4" w:space="0" w:color="auto"/>
              <w:bottom w:val="single" w:sz="4" w:space="0" w:color="auto"/>
            </w:tcBorders>
            <w:shd w:val="clear" w:color="auto" w:fill="auto"/>
            <w:vAlign w:val="center"/>
          </w:tcPr>
          <w:p w:rsidR="006D5645" w:rsidRPr="00A93AAB" w:rsidRDefault="006D5645" w:rsidP="004F1D44">
            <w:pPr>
              <w:spacing w:before="120" w:after="120"/>
              <w:rPr>
                <w:rFonts w:cs="Arial"/>
              </w:rPr>
            </w:pPr>
          </w:p>
        </w:tc>
      </w:tr>
      <w:tr w:rsidR="00327401" w:rsidRPr="009662AF" w:rsidTr="004F1D44">
        <w:trPr>
          <w:trHeight w:val="397"/>
        </w:trPr>
        <w:tc>
          <w:tcPr>
            <w:tcW w:w="4570" w:type="dxa"/>
            <w:tcBorders>
              <w:top w:val="single" w:sz="4" w:space="0" w:color="auto"/>
              <w:left w:val="single" w:sz="4" w:space="0" w:color="auto"/>
              <w:bottom w:val="single" w:sz="4" w:space="0" w:color="auto"/>
              <w:right w:val="single" w:sz="4" w:space="0" w:color="auto"/>
            </w:tcBorders>
            <w:vAlign w:val="center"/>
          </w:tcPr>
          <w:p w:rsidR="00327401" w:rsidRPr="00CC0EFA" w:rsidRDefault="009B014E" w:rsidP="00327401">
            <w:pPr>
              <w:spacing w:before="120" w:after="120"/>
              <w:rPr>
                <w:rFonts w:cs="Arial"/>
                <w:lang w:val="en-US"/>
              </w:rPr>
            </w:pPr>
            <w:r w:rsidRPr="007E301F">
              <w:rPr>
                <w:rFonts w:cs="Arial"/>
                <w:lang w:val="en-US"/>
              </w:rPr>
              <w:lastRenderedPageBreak/>
              <w:t>Authorization</w:t>
            </w:r>
            <w:r w:rsidR="00327401" w:rsidRPr="007E301F">
              <w:rPr>
                <w:rFonts w:cs="Arial"/>
                <w:lang w:val="en-US"/>
              </w:rPr>
              <w:t xml:space="preserve"> status of the investment firm</w:t>
            </w:r>
          </w:p>
        </w:tc>
        <w:tc>
          <w:tcPr>
            <w:tcW w:w="4786" w:type="dxa"/>
            <w:tcBorders>
              <w:top w:val="single" w:sz="4" w:space="0" w:color="auto"/>
              <w:left w:val="single" w:sz="4" w:space="0" w:color="auto"/>
              <w:bottom w:val="single" w:sz="4" w:space="0" w:color="auto"/>
            </w:tcBorders>
            <w:shd w:val="clear" w:color="auto" w:fill="auto"/>
            <w:vAlign w:val="center"/>
          </w:tcPr>
          <w:p w:rsidR="00327401" w:rsidRPr="00A93AAB" w:rsidRDefault="00327401" w:rsidP="00327401">
            <w:pPr>
              <w:spacing w:before="120" w:after="120"/>
              <w:rPr>
                <w:rFonts w:cs="Arial"/>
              </w:rPr>
            </w:pPr>
          </w:p>
        </w:tc>
      </w:tr>
      <w:tr w:rsidR="00327401" w:rsidRPr="009662AF" w:rsidTr="004F1D44">
        <w:trPr>
          <w:trHeight w:val="397"/>
        </w:trPr>
        <w:tc>
          <w:tcPr>
            <w:tcW w:w="4570" w:type="dxa"/>
            <w:tcBorders>
              <w:top w:val="single" w:sz="4" w:space="0" w:color="auto"/>
              <w:left w:val="single" w:sz="4" w:space="0" w:color="auto"/>
              <w:bottom w:val="single" w:sz="4" w:space="0" w:color="auto"/>
              <w:right w:val="single" w:sz="4" w:space="0" w:color="auto"/>
            </w:tcBorders>
            <w:vAlign w:val="center"/>
          </w:tcPr>
          <w:p w:rsidR="00327401" w:rsidRPr="00CC0EFA" w:rsidRDefault="00327401" w:rsidP="00327401">
            <w:pPr>
              <w:spacing w:before="120" w:after="120"/>
              <w:rPr>
                <w:rFonts w:cs="Arial"/>
                <w:lang w:val="en-US"/>
              </w:rPr>
            </w:pPr>
            <w:r w:rsidRPr="004E27CE">
              <w:t>Name and address of authority(ies) granting license or authorization</w:t>
            </w:r>
          </w:p>
        </w:tc>
        <w:tc>
          <w:tcPr>
            <w:tcW w:w="4786" w:type="dxa"/>
            <w:tcBorders>
              <w:top w:val="single" w:sz="4" w:space="0" w:color="auto"/>
              <w:left w:val="single" w:sz="4" w:space="0" w:color="auto"/>
              <w:bottom w:val="single" w:sz="4" w:space="0" w:color="auto"/>
            </w:tcBorders>
            <w:shd w:val="clear" w:color="auto" w:fill="auto"/>
            <w:vAlign w:val="center"/>
          </w:tcPr>
          <w:p w:rsidR="00327401" w:rsidRPr="00A93AAB" w:rsidRDefault="00327401" w:rsidP="00327401">
            <w:pPr>
              <w:spacing w:before="120" w:after="120"/>
              <w:rPr>
                <w:rFonts w:cs="Arial"/>
              </w:rPr>
            </w:pPr>
          </w:p>
        </w:tc>
      </w:tr>
      <w:tr w:rsidR="00327401" w:rsidRPr="009662AF" w:rsidTr="004F1D44">
        <w:trPr>
          <w:trHeight w:val="397"/>
        </w:trPr>
        <w:tc>
          <w:tcPr>
            <w:tcW w:w="4570" w:type="dxa"/>
            <w:tcBorders>
              <w:top w:val="single" w:sz="4" w:space="0" w:color="auto"/>
              <w:left w:val="single" w:sz="4" w:space="0" w:color="auto"/>
              <w:bottom w:val="single" w:sz="4" w:space="0" w:color="auto"/>
              <w:right w:val="single" w:sz="4" w:space="0" w:color="auto"/>
            </w:tcBorders>
            <w:vAlign w:val="center"/>
          </w:tcPr>
          <w:p w:rsidR="00327401" w:rsidRPr="00CC0EFA" w:rsidRDefault="00327401" w:rsidP="00327401">
            <w:pPr>
              <w:spacing w:before="120" w:after="120"/>
              <w:rPr>
                <w:rFonts w:cs="Arial"/>
                <w:lang w:val="en-US"/>
              </w:rPr>
            </w:pPr>
            <w:r>
              <w:t>Date of authorization</w:t>
            </w:r>
          </w:p>
        </w:tc>
        <w:tc>
          <w:tcPr>
            <w:tcW w:w="4786" w:type="dxa"/>
            <w:tcBorders>
              <w:top w:val="single" w:sz="4" w:space="0" w:color="auto"/>
              <w:left w:val="single" w:sz="4" w:space="0" w:color="auto"/>
              <w:bottom w:val="single" w:sz="4" w:space="0" w:color="auto"/>
            </w:tcBorders>
            <w:shd w:val="clear" w:color="auto" w:fill="auto"/>
            <w:vAlign w:val="center"/>
          </w:tcPr>
          <w:p w:rsidR="00327401" w:rsidRPr="00A93AAB" w:rsidRDefault="00327401" w:rsidP="00327401">
            <w:pPr>
              <w:spacing w:before="120" w:after="120"/>
              <w:rPr>
                <w:rFonts w:cs="Arial"/>
              </w:rPr>
            </w:pPr>
          </w:p>
        </w:tc>
      </w:tr>
    </w:tbl>
    <w:p w:rsidR="00422185" w:rsidRDefault="00422185" w:rsidP="00DA11AE">
      <w:pPr>
        <w:pStyle w:val="Heading1"/>
        <w:spacing w:before="240" w:after="240"/>
        <w:ind w:left="431" w:hanging="431"/>
        <w:rPr>
          <w:lang w:val="en-US"/>
        </w:rPr>
      </w:pPr>
      <w:r w:rsidRPr="009662AF">
        <w:rPr>
          <w:lang w:val="en-US"/>
        </w:rPr>
        <w:t>Program of operations</w:t>
      </w:r>
    </w:p>
    <w:p w:rsidR="00422185" w:rsidRPr="00C43BDD" w:rsidRDefault="00422185" w:rsidP="00422185">
      <w:pPr>
        <w:pStyle w:val="Heading2"/>
        <w:rPr>
          <w:u w:val="single"/>
          <w:lang w:val="en-US"/>
        </w:rPr>
      </w:pPr>
      <w:r w:rsidRPr="00C43BDD">
        <w:rPr>
          <w:lang w:val="en-US"/>
        </w:rPr>
        <w:t>Investment services, activities and ancillary services the firm intends to provide (*)</w:t>
      </w:r>
    </w:p>
    <w:p w:rsidR="00422185" w:rsidRDefault="00422185" w:rsidP="00422185">
      <w:pPr>
        <w:tabs>
          <w:tab w:val="left" w:pos="3840"/>
        </w:tabs>
        <w:spacing w:after="240"/>
        <w:jc w:val="both"/>
        <w:rPr>
          <w:rFonts w:cs="Arial"/>
          <w:lang w:val="en-US"/>
        </w:rPr>
      </w:pPr>
      <w:r w:rsidRPr="009662AF">
        <w:rPr>
          <w:rFonts w:cs="Arial"/>
          <w:lang w:val="en-US"/>
        </w:rPr>
        <w:t>(*) Please place an (x) in the appropriate boxes</w:t>
      </w:r>
      <w:r>
        <w:rPr>
          <w:rFonts w:cs="Arial"/>
          <w:lang w:val="en-US"/>
        </w:rPr>
        <w:t>.</w:t>
      </w:r>
    </w:p>
    <w:tbl>
      <w:tblPr>
        <w:tblW w:w="8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ayout w:type="fixed"/>
        <w:tblLook w:val="01E0" w:firstRow="1" w:lastRow="1" w:firstColumn="1" w:lastColumn="1" w:noHBand="0" w:noVBand="0"/>
      </w:tblPr>
      <w:tblGrid>
        <w:gridCol w:w="567"/>
        <w:gridCol w:w="567"/>
        <w:gridCol w:w="567"/>
        <w:gridCol w:w="565"/>
        <w:gridCol w:w="515"/>
        <w:gridCol w:w="515"/>
        <w:gridCol w:w="515"/>
        <w:gridCol w:w="518"/>
        <w:gridCol w:w="518"/>
        <w:gridCol w:w="515"/>
        <w:gridCol w:w="515"/>
        <w:gridCol w:w="515"/>
        <w:gridCol w:w="515"/>
        <w:gridCol w:w="515"/>
        <w:gridCol w:w="515"/>
        <w:gridCol w:w="603"/>
      </w:tblGrid>
      <w:tr w:rsidR="005454C0" w:rsidRPr="009662AF" w:rsidTr="008371AD">
        <w:trPr>
          <w:trHeight w:val="170"/>
        </w:trPr>
        <w:tc>
          <w:tcPr>
            <w:tcW w:w="4847" w:type="dxa"/>
            <w:gridSpan w:val="9"/>
            <w:tcBorders>
              <w:top w:val="single" w:sz="4" w:space="0" w:color="auto"/>
              <w:left w:val="single" w:sz="4" w:space="0" w:color="auto"/>
              <w:right w:val="single" w:sz="18" w:space="0" w:color="auto"/>
            </w:tcBorders>
            <w:shd w:val="clear" w:color="auto" w:fill="CCCCCC"/>
          </w:tcPr>
          <w:p w:rsidR="005454C0" w:rsidRPr="009662AF" w:rsidRDefault="005454C0" w:rsidP="009E5C34">
            <w:pPr>
              <w:spacing w:before="60" w:after="60"/>
              <w:jc w:val="center"/>
              <w:rPr>
                <w:rFonts w:cs="Arial"/>
                <w:b/>
              </w:rPr>
            </w:pPr>
            <w:r w:rsidRPr="009662AF">
              <w:rPr>
                <w:rFonts w:cs="Arial"/>
                <w:b/>
              </w:rPr>
              <w:t>Investment services and activities</w:t>
            </w:r>
          </w:p>
        </w:tc>
        <w:tc>
          <w:tcPr>
            <w:tcW w:w="3693" w:type="dxa"/>
            <w:gridSpan w:val="7"/>
            <w:tcBorders>
              <w:left w:val="single" w:sz="18" w:space="0" w:color="auto"/>
              <w:bottom w:val="single" w:sz="4" w:space="0" w:color="auto"/>
            </w:tcBorders>
            <w:shd w:val="clear" w:color="auto" w:fill="CCCCCC"/>
          </w:tcPr>
          <w:p w:rsidR="005454C0" w:rsidRPr="009662AF" w:rsidRDefault="005454C0" w:rsidP="00327401">
            <w:pPr>
              <w:spacing w:before="60" w:after="60"/>
              <w:jc w:val="center"/>
              <w:rPr>
                <w:rFonts w:cs="Arial"/>
                <w:b/>
              </w:rPr>
            </w:pPr>
            <w:r w:rsidRPr="009662AF">
              <w:rPr>
                <w:rFonts w:cs="Arial"/>
                <w:b/>
              </w:rPr>
              <w:t>Ancillary services</w:t>
            </w:r>
          </w:p>
        </w:tc>
      </w:tr>
      <w:tr w:rsidR="005454C0" w:rsidRPr="009662AF" w:rsidTr="005454C0">
        <w:trPr>
          <w:trHeight w:val="258"/>
        </w:trPr>
        <w:tc>
          <w:tcPr>
            <w:tcW w:w="567" w:type="dxa"/>
            <w:tcBorders>
              <w:left w:val="single" w:sz="4" w:space="0" w:color="auto"/>
            </w:tcBorders>
            <w:shd w:val="clear" w:color="auto" w:fill="CCCCCC"/>
          </w:tcPr>
          <w:p w:rsidR="005454C0" w:rsidRPr="009662AF" w:rsidRDefault="005454C0" w:rsidP="002F644D">
            <w:pPr>
              <w:spacing w:before="60" w:after="60"/>
              <w:jc w:val="center"/>
              <w:rPr>
                <w:rFonts w:cs="Arial"/>
              </w:rPr>
            </w:pPr>
            <w:r w:rsidRPr="009662AF">
              <w:rPr>
                <w:rFonts w:cs="Arial"/>
              </w:rPr>
              <w:t>A1</w:t>
            </w:r>
          </w:p>
        </w:tc>
        <w:tc>
          <w:tcPr>
            <w:tcW w:w="567" w:type="dxa"/>
            <w:shd w:val="clear" w:color="auto" w:fill="CCCCCC"/>
          </w:tcPr>
          <w:p w:rsidR="005454C0" w:rsidRPr="009662AF" w:rsidRDefault="005454C0" w:rsidP="002F644D">
            <w:pPr>
              <w:spacing w:before="60" w:after="60"/>
              <w:jc w:val="center"/>
              <w:rPr>
                <w:rFonts w:cs="Arial"/>
              </w:rPr>
            </w:pPr>
            <w:r w:rsidRPr="009662AF">
              <w:rPr>
                <w:rFonts w:cs="Arial"/>
              </w:rPr>
              <w:t>A2</w:t>
            </w:r>
          </w:p>
        </w:tc>
        <w:tc>
          <w:tcPr>
            <w:tcW w:w="567" w:type="dxa"/>
            <w:shd w:val="clear" w:color="auto" w:fill="CCCCCC"/>
          </w:tcPr>
          <w:p w:rsidR="005454C0" w:rsidRPr="009662AF" w:rsidRDefault="005454C0" w:rsidP="002F644D">
            <w:pPr>
              <w:spacing w:before="60" w:after="60"/>
              <w:jc w:val="center"/>
              <w:rPr>
                <w:rFonts w:cs="Arial"/>
              </w:rPr>
            </w:pPr>
            <w:r w:rsidRPr="009662AF">
              <w:rPr>
                <w:rFonts w:cs="Arial"/>
              </w:rPr>
              <w:t>A3</w:t>
            </w:r>
          </w:p>
        </w:tc>
        <w:tc>
          <w:tcPr>
            <w:tcW w:w="565" w:type="dxa"/>
            <w:shd w:val="clear" w:color="auto" w:fill="CCCCCC"/>
          </w:tcPr>
          <w:p w:rsidR="005454C0" w:rsidRPr="009662AF" w:rsidRDefault="005454C0" w:rsidP="002F644D">
            <w:pPr>
              <w:spacing w:before="60" w:after="60"/>
              <w:jc w:val="center"/>
              <w:rPr>
                <w:rFonts w:cs="Arial"/>
              </w:rPr>
            </w:pPr>
            <w:r w:rsidRPr="009662AF">
              <w:rPr>
                <w:rFonts w:cs="Arial"/>
              </w:rPr>
              <w:t>A4</w:t>
            </w:r>
          </w:p>
        </w:tc>
        <w:tc>
          <w:tcPr>
            <w:tcW w:w="515" w:type="dxa"/>
            <w:shd w:val="clear" w:color="auto" w:fill="CCCCCC"/>
          </w:tcPr>
          <w:p w:rsidR="005454C0" w:rsidRPr="009662AF" w:rsidRDefault="005454C0" w:rsidP="002F644D">
            <w:pPr>
              <w:spacing w:before="60" w:after="60"/>
              <w:jc w:val="center"/>
              <w:rPr>
                <w:rFonts w:cs="Arial"/>
              </w:rPr>
            </w:pPr>
            <w:r w:rsidRPr="009662AF">
              <w:rPr>
                <w:rFonts w:cs="Arial"/>
              </w:rPr>
              <w:t>A5</w:t>
            </w:r>
          </w:p>
        </w:tc>
        <w:tc>
          <w:tcPr>
            <w:tcW w:w="515" w:type="dxa"/>
            <w:shd w:val="clear" w:color="auto" w:fill="CCCCCC"/>
          </w:tcPr>
          <w:p w:rsidR="005454C0" w:rsidRPr="009662AF" w:rsidRDefault="005454C0" w:rsidP="002F644D">
            <w:pPr>
              <w:spacing w:before="60" w:after="60"/>
              <w:jc w:val="center"/>
              <w:rPr>
                <w:rFonts w:cs="Arial"/>
              </w:rPr>
            </w:pPr>
            <w:r w:rsidRPr="009662AF">
              <w:rPr>
                <w:rFonts w:cs="Arial"/>
              </w:rPr>
              <w:t>A6</w:t>
            </w:r>
          </w:p>
        </w:tc>
        <w:tc>
          <w:tcPr>
            <w:tcW w:w="515" w:type="dxa"/>
            <w:shd w:val="clear" w:color="auto" w:fill="CCCCCC"/>
          </w:tcPr>
          <w:p w:rsidR="005454C0" w:rsidRPr="009662AF" w:rsidRDefault="005454C0" w:rsidP="002F644D">
            <w:pPr>
              <w:spacing w:before="60" w:after="60"/>
              <w:jc w:val="center"/>
              <w:rPr>
                <w:rFonts w:cs="Arial"/>
              </w:rPr>
            </w:pPr>
            <w:r w:rsidRPr="009662AF">
              <w:rPr>
                <w:rFonts w:cs="Arial"/>
              </w:rPr>
              <w:t>A7</w:t>
            </w:r>
          </w:p>
        </w:tc>
        <w:tc>
          <w:tcPr>
            <w:tcW w:w="518" w:type="dxa"/>
            <w:shd w:val="clear" w:color="auto" w:fill="CCCCCC"/>
          </w:tcPr>
          <w:p w:rsidR="005454C0" w:rsidRPr="009662AF" w:rsidRDefault="005454C0" w:rsidP="002F644D">
            <w:pPr>
              <w:spacing w:before="60" w:after="60"/>
              <w:jc w:val="center"/>
              <w:rPr>
                <w:rFonts w:cs="Arial"/>
              </w:rPr>
            </w:pPr>
            <w:r>
              <w:rPr>
                <w:rFonts w:cs="Arial"/>
              </w:rPr>
              <w:t>A8</w:t>
            </w:r>
          </w:p>
        </w:tc>
        <w:tc>
          <w:tcPr>
            <w:tcW w:w="518" w:type="dxa"/>
            <w:tcBorders>
              <w:right w:val="single" w:sz="18" w:space="0" w:color="auto"/>
            </w:tcBorders>
            <w:shd w:val="clear" w:color="auto" w:fill="CCCCCC"/>
          </w:tcPr>
          <w:p w:rsidR="005454C0" w:rsidRPr="009662AF" w:rsidRDefault="005454C0" w:rsidP="002F644D">
            <w:pPr>
              <w:spacing w:before="60" w:after="60"/>
              <w:jc w:val="center"/>
              <w:rPr>
                <w:rFonts w:cs="Arial"/>
              </w:rPr>
            </w:pPr>
            <w:r>
              <w:rPr>
                <w:rFonts w:cs="Arial"/>
              </w:rPr>
              <w:t>A9</w:t>
            </w:r>
          </w:p>
        </w:tc>
        <w:tc>
          <w:tcPr>
            <w:tcW w:w="515" w:type="dxa"/>
            <w:tcBorders>
              <w:left w:val="single" w:sz="18" w:space="0" w:color="auto"/>
            </w:tcBorders>
            <w:shd w:val="clear" w:color="auto" w:fill="CCCCCC"/>
          </w:tcPr>
          <w:p w:rsidR="005454C0" w:rsidRPr="009662AF" w:rsidRDefault="005454C0" w:rsidP="002F644D">
            <w:pPr>
              <w:spacing w:before="60" w:after="60"/>
              <w:jc w:val="center"/>
              <w:rPr>
                <w:rFonts w:cs="Arial"/>
              </w:rPr>
            </w:pPr>
            <w:r w:rsidRPr="009662AF">
              <w:rPr>
                <w:rFonts w:cs="Arial"/>
              </w:rPr>
              <w:t>B1</w:t>
            </w:r>
          </w:p>
        </w:tc>
        <w:tc>
          <w:tcPr>
            <w:tcW w:w="515" w:type="dxa"/>
            <w:shd w:val="clear" w:color="auto" w:fill="CCCCCC"/>
          </w:tcPr>
          <w:p w:rsidR="005454C0" w:rsidRPr="009662AF" w:rsidRDefault="005454C0" w:rsidP="002F644D">
            <w:pPr>
              <w:spacing w:before="60" w:after="60"/>
              <w:jc w:val="center"/>
              <w:rPr>
                <w:rFonts w:cs="Arial"/>
              </w:rPr>
            </w:pPr>
            <w:r w:rsidRPr="009662AF">
              <w:rPr>
                <w:rFonts w:cs="Arial"/>
              </w:rPr>
              <w:t>B2</w:t>
            </w:r>
          </w:p>
        </w:tc>
        <w:tc>
          <w:tcPr>
            <w:tcW w:w="515" w:type="dxa"/>
            <w:shd w:val="clear" w:color="auto" w:fill="CCCCCC"/>
          </w:tcPr>
          <w:p w:rsidR="005454C0" w:rsidRPr="009662AF" w:rsidRDefault="005454C0" w:rsidP="002F644D">
            <w:pPr>
              <w:spacing w:before="60" w:after="60"/>
              <w:jc w:val="center"/>
              <w:rPr>
                <w:rFonts w:cs="Arial"/>
              </w:rPr>
            </w:pPr>
            <w:r w:rsidRPr="009662AF">
              <w:rPr>
                <w:rFonts w:cs="Arial"/>
              </w:rPr>
              <w:t>B3</w:t>
            </w:r>
          </w:p>
        </w:tc>
        <w:tc>
          <w:tcPr>
            <w:tcW w:w="515" w:type="dxa"/>
            <w:shd w:val="clear" w:color="auto" w:fill="CCCCCC"/>
          </w:tcPr>
          <w:p w:rsidR="005454C0" w:rsidRPr="009662AF" w:rsidRDefault="005454C0" w:rsidP="002F644D">
            <w:pPr>
              <w:spacing w:before="60" w:after="60"/>
              <w:jc w:val="center"/>
              <w:rPr>
                <w:rFonts w:cs="Arial"/>
              </w:rPr>
            </w:pPr>
            <w:r w:rsidRPr="009662AF">
              <w:rPr>
                <w:rFonts w:cs="Arial"/>
              </w:rPr>
              <w:t>B4</w:t>
            </w:r>
          </w:p>
        </w:tc>
        <w:tc>
          <w:tcPr>
            <w:tcW w:w="515" w:type="dxa"/>
            <w:shd w:val="clear" w:color="auto" w:fill="CCCCCC"/>
          </w:tcPr>
          <w:p w:rsidR="005454C0" w:rsidRPr="009662AF" w:rsidRDefault="005454C0" w:rsidP="002F644D">
            <w:pPr>
              <w:spacing w:before="60" w:after="60"/>
              <w:jc w:val="center"/>
              <w:rPr>
                <w:rFonts w:cs="Arial"/>
              </w:rPr>
            </w:pPr>
            <w:r w:rsidRPr="009662AF">
              <w:rPr>
                <w:rFonts w:cs="Arial"/>
              </w:rPr>
              <w:t>B5</w:t>
            </w:r>
          </w:p>
        </w:tc>
        <w:tc>
          <w:tcPr>
            <w:tcW w:w="515" w:type="dxa"/>
            <w:shd w:val="clear" w:color="auto" w:fill="CCCCCC"/>
          </w:tcPr>
          <w:p w:rsidR="005454C0" w:rsidRPr="009662AF" w:rsidRDefault="005454C0" w:rsidP="002F644D">
            <w:pPr>
              <w:spacing w:before="60" w:after="60"/>
              <w:jc w:val="center"/>
              <w:rPr>
                <w:rFonts w:cs="Arial"/>
              </w:rPr>
            </w:pPr>
            <w:r w:rsidRPr="009662AF">
              <w:rPr>
                <w:rFonts w:cs="Arial"/>
              </w:rPr>
              <w:t>B6</w:t>
            </w:r>
          </w:p>
        </w:tc>
        <w:tc>
          <w:tcPr>
            <w:tcW w:w="603" w:type="dxa"/>
            <w:shd w:val="clear" w:color="auto" w:fill="CCCCCC"/>
          </w:tcPr>
          <w:p w:rsidR="005454C0" w:rsidRPr="009662AF" w:rsidRDefault="005454C0" w:rsidP="002F644D">
            <w:pPr>
              <w:spacing w:before="60" w:after="60"/>
              <w:jc w:val="center"/>
              <w:rPr>
                <w:rFonts w:cs="Arial"/>
              </w:rPr>
            </w:pPr>
            <w:r w:rsidRPr="009662AF">
              <w:rPr>
                <w:rFonts w:cs="Arial"/>
              </w:rPr>
              <w:t>B7</w:t>
            </w:r>
          </w:p>
        </w:tc>
      </w:tr>
      <w:tr w:rsidR="005454C0" w:rsidRPr="009662AF" w:rsidTr="005454C0">
        <w:trPr>
          <w:trHeight w:val="258"/>
        </w:trPr>
        <w:tc>
          <w:tcPr>
            <w:tcW w:w="567" w:type="dxa"/>
            <w:tcBorders>
              <w:left w:val="single" w:sz="4" w:space="0" w:color="auto"/>
              <w:bottom w:val="single" w:sz="4" w:space="0" w:color="auto"/>
            </w:tcBorders>
            <w:shd w:val="clear" w:color="auto" w:fill="CCCCCC"/>
          </w:tcPr>
          <w:p w:rsidR="005454C0" w:rsidRPr="009662AF" w:rsidRDefault="005454C0" w:rsidP="002F644D">
            <w:pPr>
              <w:spacing w:before="60" w:after="60"/>
              <w:jc w:val="center"/>
              <w:rPr>
                <w:rFonts w:cs="Arial"/>
              </w:rPr>
            </w:pPr>
          </w:p>
        </w:tc>
        <w:tc>
          <w:tcPr>
            <w:tcW w:w="567" w:type="dxa"/>
            <w:tcBorders>
              <w:bottom w:val="single" w:sz="4" w:space="0" w:color="auto"/>
            </w:tcBorders>
            <w:shd w:val="clear" w:color="auto" w:fill="CCCCCC"/>
          </w:tcPr>
          <w:p w:rsidR="005454C0" w:rsidRPr="009662AF" w:rsidRDefault="005454C0" w:rsidP="002F644D">
            <w:pPr>
              <w:spacing w:before="60" w:after="60"/>
              <w:jc w:val="center"/>
              <w:rPr>
                <w:rFonts w:cs="Arial"/>
              </w:rPr>
            </w:pPr>
          </w:p>
        </w:tc>
        <w:tc>
          <w:tcPr>
            <w:tcW w:w="567" w:type="dxa"/>
            <w:tcBorders>
              <w:bottom w:val="single" w:sz="4" w:space="0" w:color="auto"/>
            </w:tcBorders>
            <w:shd w:val="clear" w:color="auto" w:fill="CCCCCC"/>
          </w:tcPr>
          <w:p w:rsidR="005454C0" w:rsidRPr="009662AF" w:rsidRDefault="005454C0" w:rsidP="002F644D">
            <w:pPr>
              <w:spacing w:before="60" w:after="60"/>
              <w:jc w:val="center"/>
              <w:rPr>
                <w:rFonts w:cs="Arial"/>
              </w:rPr>
            </w:pPr>
          </w:p>
        </w:tc>
        <w:tc>
          <w:tcPr>
            <w:tcW w:w="565" w:type="dxa"/>
            <w:tcBorders>
              <w:bottom w:val="single" w:sz="4" w:space="0" w:color="auto"/>
            </w:tcBorders>
            <w:shd w:val="clear" w:color="auto" w:fill="CCCCCC"/>
          </w:tcPr>
          <w:p w:rsidR="005454C0" w:rsidRPr="009662AF" w:rsidRDefault="005454C0" w:rsidP="002F644D">
            <w:pPr>
              <w:spacing w:before="60" w:after="60"/>
              <w:jc w:val="center"/>
              <w:rPr>
                <w:rFonts w:cs="Arial"/>
              </w:rPr>
            </w:pPr>
          </w:p>
        </w:tc>
        <w:tc>
          <w:tcPr>
            <w:tcW w:w="515" w:type="dxa"/>
            <w:tcBorders>
              <w:bottom w:val="single" w:sz="4" w:space="0" w:color="auto"/>
            </w:tcBorders>
            <w:shd w:val="clear" w:color="auto" w:fill="CCCCCC"/>
          </w:tcPr>
          <w:p w:rsidR="005454C0" w:rsidRPr="009662AF" w:rsidRDefault="005454C0" w:rsidP="002F644D">
            <w:pPr>
              <w:spacing w:before="60" w:after="60"/>
              <w:jc w:val="center"/>
              <w:rPr>
                <w:rFonts w:cs="Arial"/>
              </w:rPr>
            </w:pPr>
          </w:p>
        </w:tc>
        <w:tc>
          <w:tcPr>
            <w:tcW w:w="515" w:type="dxa"/>
            <w:tcBorders>
              <w:bottom w:val="single" w:sz="4" w:space="0" w:color="auto"/>
            </w:tcBorders>
            <w:shd w:val="clear" w:color="auto" w:fill="CCCCCC"/>
          </w:tcPr>
          <w:p w:rsidR="005454C0" w:rsidRPr="009662AF" w:rsidRDefault="005454C0" w:rsidP="002F644D">
            <w:pPr>
              <w:spacing w:before="60" w:after="60"/>
              <w:jc w:val="center"/>
              <w:rPr>
                <w:rFonts w:cs="Arial"/>
              </w:rPr>
            </w:pPr>
          </w:p>
        </w:tc>
        <w:tc>
          <w:tcPr>
            <w:tcW w:w="515" w:type="dxa"/>
            <w:tcBorders>
              <w:bottom w:val="single" w:sz="4" w:space="0" w:color="auto"/>
            </w:tcBorders>
            <w:shd w:val="clear" w:color="auto" w:fill="CCCCCC"/>
          </w:tcPr>
          <w:p w:rsidR="005454C0" w:rsidRPr="009662AF" w:rsidRDefault="005454C0" w:rsidP="002F644D">
            <w:pPr>
              <w:spacing w:before="60" w:after="60"/>
              <w:jc w:val="center"/>
              <w:rPr>
                <w:rFonts w:cs="Arial"/>
              </w:rPr>
            </w:pPr>
          </w:p>
        </w:tc>
        <w:tc>
          <w:tcPr>
            <w:tcW w:w="518" w:type="dxa"/>
            <w:tcBorders>
              <w:bottom w:val="single" w:sz="4" w:space="0" w:color="auto"/>
            </w:tcBorders>
            <w:shd w:val="clear" w:color="auto" w:fill="CCCCCC"/>
          </w:tcPr>
          <w:p w:rsidR="005454C0" w:rsidRPr="009662AF" w:rsidRDefault="005454C0" w:rsidP="002F644D">
            <w:pPr>
              <w:spacing w:before="60" w:after="60"/>
              <w:jc w:val="center"/>
              <w:rPr>
                <w:rFonts w:cs="Arial"/>
              </w:rPr>
            </w:pPr>
          </w:p>
        </w:tc>
        <w:tc>
          <w:tcPr>
            <w:tcW w:w="518" w:type="dxa"/>
            <w:tcBorders>
              <w:bottom w:val="single" w:sz="4" w:space="0" w:color="auto"/>
              <w:right w:val="single" w:sz="18" w:space="0" w:color="auto"/>
            </w:tcBorders>
            <w:shd w:val="clear" w:color="auto" w:fill="CCCCCC"/>
          </w:tcPr>
          <w:p w:rsidR="005454C0" w:rsidRPr="009662AF" w:rsidRDefault="005454C0" w:rsidP="002F644D">
            <w:pPr>
              <w:spacing w:before="60" w:after="60"/>
              <w:jc w:val="center"/>
              <w:rPr>
                <w:rFonts w:cs="Arial"/>
              </w:rPr>
            </w:pPr>
          </w:p>
        </w:tc>
        <w:tc>
          <w:tcPr>
            <w:tcW w:w="515" w:type="dxa"/>
            <w:tcBorders>
              <w:left w:val="single" w:sz="18" w:space="0" w:color="auto"/>
              <w:bottom w:val="single" w:sz="4" w:space="0" w:color="auto"/>
            </w:tcBorders>
            <w:shd w:val="clear" w:color="auto" w:fill="CCCCCC"/>
          </w:tcPr>
          <w:p w:rsidR="005454C0" w:rsidRPr="009662AF" w:rsidRDefault="005454C0" w:rsidP="002F644D">
            <w:pPr>
              <w:spacing w:before="60" w:after="60"/>
              <w:jc w:val="center"/>
              <w:rPr>
                <w:rFonts w:cs="Arial"/>
              </w:rPr>
            </w:pPr>
          </w:p>
        </w:tc>
        <w:tc>
          <w:tcPr>
            <w:tcW w:w="515" w:type="dxa"/>
            <w:tcBorders>
              <w:bottom w:val="single" w:sz="4" w:space="0" w:color="auto"/>
            </w:tcBorders>
            <w:shd w:val="clear" w:color="auto" w:fill="CCCCCC"/>
          </w:tcPr>
          <w:p w:rsidR="005454C0" w:rsidRPr="009662AF" w:rsidRDefault="005454C0" w:rsidP="002F644D">
            <w:pPr>
              <w:spacing w:before="60" w:after="60"/>
              <w:jc w:val="center"/>
              <w:rPr>
                <w:rFonts w:cs="Arial"/>
              </w:rPr>
            </w:pPr>
          </w:p>
        </w:tc>
        <w:tc>
          <w:tcPr>
            <w:tcW w:w="515" w:type="dxa"/>
            <w:tcBorders>
              <w:bottom w:val="single" w:sz="4" w:space="0" w:color="auto"/>
            </w:tcBorders>
            <w:shd w:val="clear" w:color="auto" w:fill="CCCCCC"/>
          </w:tcPr>
          <w:p w:rsidR="005454C0" w:rsidRPr="009662AF" w:rsidRDefault="005454C0" w:rsidP="002F644D">
            <w:pPr>
              <w:spacing w:before="60" w:after="60"/>
              <w:jc w:val="center"/>
              <w:rPr>
                <w:rFonts w:cs="Arial"/>
              </w:rPr>
            </w:pPr>
          </w:p>
        </w:tc>
        <w:tc>
          <w:tcPr>
            <w:tcW w:w="515" w:type="dxa"/>
            <w:tcBorders>
              <w:bottom w:val="single" w:sz="4" w:space="0" w:color="auto"/>
            </w:tcBorders>
            <w:shd w:val="clear" w:color="auto" w:fill="CCCCCC"/>
          </w:tcPr>
          <w:p w:rsidR="005454C0" w:rsidRPr="009662AF" w:rsidRDefault="005454C0" w:rsidP="002F644D">
            <w:pPr>
              <w:spacing w:before="60" w:after="60"/>
              <w:jc w:val="center"/>
              <w:rPr>
                <w:rFonts w:cs="Arial"/>
              </w:rPr>
            </w:pPr>
          </w:p>
        </w:tc>
        <w:tc>
          <w:tcPr>
            <w:tcW w:w="515" w:type="dxa"/>
            <w:tcBorders>
              <w:bottom w:val="single" w:sz="4" w:space="0" w:color="auto"/>
            </w:tcBorders>
            <w:shd w:val="clear" w:color="auto" w:fill="CCCCCC"/>
          </w:tcPr>
          <w:p w:rsidR="005454C0" w:rsidRPr="009662AF" w:rsidRDefault="005454C0" w:rsidP="002F644D">
            <w:pPr>
              <w:spacing w:before="60" w:after="60"/>
              <w:jc w:val="center"/>
              <w:rPr>
                <w:rFonts w:cs="Arial"/>
              </w:rPr>
            </w:pPr>
          </w:p>
        </w:tc>
        <w:tc>
          <w:tcPr>
            <w:tcW w:w="515" w:type="dxa"/>
            <w:tcBorders>
              <w:bottom w:val="single" w:sz="4" w:space="0" w:color="auto"/>
            </w:tcBorders>
            <w:shd w:val="clear" w:color="auto" w:fill="CCCCCC"/>
          </w:tcPr>
          <w:p w:rsidR="005454C0" w:rsidRPr="009662AF" w:rsidRDefault="005454C0" w:rsidP="002F644D">
            <w:pPr>
              <w:spacing w:before="60" w:after="60"/>
              <w:jc w:val="center"/>
              <w:rPr>
                <w:rFonts w:cs="Arial"/>
              </w:rPr>
            </w:pPr>
          </w:p>
        </w:tc>
        <w:tc>
          <w:tcPr>
            <w:tcW w:w="603" w:type="dxa"/>
            <w:tcBorders>
              <w:bottom w:val="single" w:sz="4" w:space="0" w:color="auto"/>
            </w:tcBorders>
            <w:shd w:val="clear" w:color="auto" w:fill="CCCCCC"/>
          </w:tcPr>
          <w:p w:rsidR="005454C0" w:rsidRPr="009662AF" w:rsidRDefault="005454C0" w:rsidP="002F644D">
            <w:pPr>
              <w:spacing w:before="60" w:after="60"/>
              <w:jc w:val="center"/>
              <w:rPr>
                <w:rFonts w:cs="Arial"/>
              </w:rPr>
            </w:pPr>
          </w:p>
        </w:tc>
      </w:tr>
    </w:tbl>
    <w:p w:rsidR="00422185" w:rsidRDefault="00422185" w:rsidP="00422185">
      <w:pPr>
        <w:spacing w:before="240" w:after="240"/>
        <w:jc w:val="both"/>
        <w:rPr>
          <w:rFonts w:cs="Arial"/>
          <w:lang w:val="en-US"/>
        </w:rPr>
      </w:pPr>
      <w:r w:rsidRPr="009662AF">
        <w:rPr>
          <w:rFonts w:cs="Arial"/>
          <w:lang w:val="en-US"/>
        </w:rPr>
        <w:t>A description of the i</w:t>
      </w:r>
      <w:r w:rsidR="00327401">
        <w:rPr>
          <w:rFonts w:cs="Arial"/>
          <w:lang w:val="en-US"/>
        </w:rPr>
        <w:t xml:space="preserve">nvestment services, activities and </w:t>
      </w:r>
      <w:r w:rsidRPr="009662AF">
        <w:rPr>
          <w:rFonts w:cs="Arial"/>
          <w:lang w:val="en-US"/>
        </w:rPr>
        <w:t>ancillary se</w:t>
      </w:r>
      <w:r w:rsidR="00327401">
        <w:rPr>
          <w:rFonts w:cs="Arial"/>
          <w:lang w:val="en-US"/>
        </w:rPr>
        <w:t>rvices</w:t>
      </w:r>
      <w:r w:rsidRPr="009662AF">
        <w:rPr>
          <w:rFonts w:cs="Arial"/>
          <w:lang w:val="en-US"/>
        </w:rPr>
        <w:t xml:space="preserve"> is available at the end of this form. </w:t>
      </w:r>
    </w:p>
    <w:p w:rsidR="0044630C" w:rsidRDefault="006D5645" w:rsidP="0044630C">
      <w:pPr>
        <w:pStyle w:val="Heading2"/>
      </w:pPr>
      <w:r>
        <w:t xml:space="preserve">Sollicited </w:t>
      </w:r>
      <w:r w:rsidR="006A029A">
        <w:t>investors</w:t>
      </w:r>
    </w:p>
    <w:p w:rsidR="0044630C" w:rsidRDefault="0044630C" w:rsidP="00A93AAB">
      <w:pPr>
        <w:spacing w:after="240"/>
        <w:rPr>
          <w:rFonts w:cs="Arial"/>
          <w:lang w:val="en-US"/>
        </w:rPr>
      </w:pPr>
      <w:r w:rsidRPr="009662AF">
        <w:rPr>
          <w:rFonts w:cs="Arial"/>
          <w:lang w:val="en-US"/>
        </w:rPr>
        <w:t>(*) Please place an (x) in the appropriate boxes</w:t>
      </w:r>
    </w:p>
    <w:tbl>
      <w:tblPr>
        <w:tblW w:w="8495" w:type="dxa"/>
        <w:tblCellMar>
          <w:left w:w="0" w:type="dxa"/>
          <w:right w:w="0" w:type="dxa"/>
        </w:tblCellMar>
        <w:tblLook w:val="04A0" w:firstRow="1" w:lastRow="0" w:firstColumn="1" w:lastColumn="0" w:noHBand="0" w:noVBand="1"/>
      </w:tblPr>
      <w:tblGrid>
        <w:gridCol w:w="8495"/>
      </w:tblGrid>
      <w:tr w:rsidR="00CA207B" w:rsidTr="00CA207B">
        <w:trPr>
          <w:trHeight w:val="298"/>
        </w:trPr>
        <w:tc>
          <w:tcPr>
            <w:tcW w:w="84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A207B" w:rsidRPr="00DA11AE" w:rsidRDefault="00FD7E36" w:rsidP="00DA11AE">
            <w:pPr>
              <w:spacing w:before="120" w:after="120" w:line="252" w:lineRule="auto"/>
              <w:ind w:left="447" w:hanging="447"/>
              <w:jc w:val="both"/>
              <w:rPr>
                <w:lang w:val="en-US"/>
              </w:rPr>
            </w:pPr>
            <w:sdt>
              <w:sdtPr>
                <w:rPr>
                  <w:rFonts w:cs="Arial"/>
                  <w:lang w:val="en-US"/>
                </w:rPr>
                <w:id w:val="831179624"/>
                <w14:checkbox>
                  <w14:checked w14:val="0"/>
                  <w14:checkedState w14:val="2612" w14:font="MS Gothic"/>
                  <w14:uncheckedState w14:val="2610" w14:font="MS Gothic"/>
                </w14:checkbox>
              </w:sdtPr>
              <w:sdtEndPr/>
              <w:sdtContent>
                <w:r w:rsidR="00CA207B">
                  <w:rPr>
                    <w:rFonts w:ascii="MS Gothic" w:eastAsia="MS Gothic" w:hAnsi="MS Gothic" w:cs="Arial" w:hint="eastAsia"/>
                    <w:lang w:val="en-US"/>
                  </w:rPr>
                  <w:t>☐</w:t>
                </w:r>
              </w:sdtContent>
            </w:sdt>
            <w:r w:rsidR="00DA11AE">
              <w:t xml:space="preserve"> </w:t>
            </w:r>
            <w:r w:rsidR="00DA11AE">
              <w:tab/>
              <w:t>E</w:t>
            </w:r>
            <w:r w:rsidR="00CA207B">
              <w:t>ligible counterparties</w:t>
            </w:r>
            <w:r w:rsidR="005E36AF">
              <w:rPr>
                <w:rStyle w:val="FootnoteReference"/>
              </w:rPr>
              <w:footnoteReference w:id="1"/>
            </w:r>
          </w:p>
        </w:tc>
      </w:tr>
      <w:tr w:rsidR="00CA207B" w:rsidTr="00CA207B">
        <w:tc>
          <w:tcPr>
            <w:tcW w:w="84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A207B" w:rsidRDefault="00FD7E36" w:rsidP="00DA11AE">
            <w:pPr>
              <w:spacing w:before="120" w:after="120" w:line="252" w:lineRule="auto"/>
              <w:ind w:left="447" w:hanging="447"/>
              <w:jc w:val="both"/>
            </w:pPr>
            <w:sdt>
              <w:sdtPr>
                <w:id w:val="-1483234858"/>
                <w14:checkbox>
                  <w14:checked w14:val="0"/>
                  <w14:checkedState w14:val="2612" w14:font="MS Gothic"/>
                  <w14:uncheckedState w14:val="2610" w14:font="MS Gothic"/>
                </w14:checkbox>
              </w:sdtPr>
              <w:sdtEndPr/>
              <w:sdtContent>
                <w:r w:rsidR="00CA207B">
                  <w:rPr>
                    <w:rFonts w:ascii="MS Gothic" w:eastAsia="MS Gothic" w:hAnsi="MS Gothic" w:hint="eastAsia"/>
                  </w:rPr>
                  <w:t>☐</w:t>
                </w:r>
              </w:sdtContent>
            </w:sdt>
            <w:r w:rsidR="00DA11AE">
              <w:t xml:space="preserve"> </w:t>
            </w:r>
            <w:r w:rsidR="00DA11AE">
              <w:tab/>
              <w:t>C</w:t>
            </w:r>
            <w:r w:rsidR="00CA207B">
              <w:t>lients who are classified as professionals</w:t>
            </w:r>
            <w:r w:rsidR="00090325">
              <w:t xml:space="preserve"> “per se”</w:t>
            </w:r>
            <w:r w:rsidR="005E36AF">
              <w:rPr>
                <w:rStyle w:val="FootnoteReference"/>
              </w:rPr>
              <w:footnoteReference w:id="2"/>
            </w:r>
          </w:p>
        </w:tc>
      </w:tr>
      <w:tr w:rsidR="00CA207B" w:rsidTr="00CA207B">
        <w:tc>
          <w:tcPr>
            <w:tcW w:w="84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A207B" w:rsidRDefault="00CA207B" w:rsidP="00DA11AE">
            <w:pPr>
              <w:spacing w:before="120" w:after="120" w:line="252" w:lineRule="auto"/>
              <w:jc w:val="both"/>
            </w:pPr>
            <w:r>
              <w:t>Persons established in Belgium and holding the nationality</w:t>
            </w:r>
          </w:p>
          <w:p w:rsidR="00CA207B" w:rsidRDefault="00FD7E36" w:rsidP="00DA11AE">
            <w:pPr>
              <w:spacing w:before="120" w:after="120" w:line="252" w:lineRule="auto"/>
              <w:ind w:left="1156" w:hanging="447"/>
              <w:jc w:val="both"/>
            </w:pPr>
            <w:sdt>
              <w:sdtPr>
                <w:id w:val="1176612560"/>
                <w14:checkbox>
                  <w14:checked w14:val="0"/>
                  <w14:checkedState w14:val="2612" w14:font="MS Gothic"/>
                  <w14:uncheckedState w14:val="2610" w14:font="MS Gothic"/>
                </w14:checkbox>
              </w:sdtPr>
              <w:sdtEndPr/>
              <w:sdtContent>
                <w:r w:rsidR="00CA207B">
                  <w:rPr>
                    <w:rFonts w:ascii="MS Gothic" w:eastAsia="MS Gothic" w:hAnsi="MS Gothic" w:hint="eastAsia"/>
                  </w:rPr>
                  <w:t>☐</w:t>
                </w:r>
              </w:sdtContent>
            </w:sdt>
            <w:r w:rsidR="00CA207B">
              <w:t xml:space="preserve"> </w:t>
            </w:r>
            <w:r w:rsidR="00DA11AE">
              <w:tab/>
            </w:r>
            <w:r w:rsidR="00CA207B">
              <w:t>of the investment firm’s home State; or</w:t>
            </w:r>
          </w:p>
          <w:p w:rsidR="00CA207B" w:rsidRDefault="00FD7E36" w:rsidP="00DA11AE">
            <w:pPr>
              <w:spacing w:before="120" w:after="120" w:line="252" w:lineRule="auto"/>
              <w:ind w:left="1156" w:hanging="447"/>
              <w:jc w:val="both"/>
            </w:pPr>
            <w:sdt>
              <w:sdtPr>
                <w:id w:val="-788430229"/>
                <w14:checkbox>
                  <w14:checked w14:val="0"/>
                  <w14:checkedState w14:val="2612" w14:font="MS Gothic"/>
                  <w14:uncheckedState w14:val="2610" w14:font="MS Gothic"/>
                </w14:checkbox>
              </w:sdtPr>
              <w:sdtEndPr/>
              <w:sdtContent>
                <w:r w:rsidR="00CA207B">
                  <w:rPr>
                    <w:rFonts w:ascii="MS Gothic" w:eastAsia="MS Gothic" w:hAnsi="MS Gothic" w:hint="eastAsia"/>
                  </w:rPr>
                  <w:t>☐</w:t>
                </w:r>
              </w:sdtContent>
            </w:sdt>
            <w:r w:rsidR="00CA207B">
              <w:t xml:space="preserve"> </w:t>
            </w:r>
            <w:r w:rsidR="00DA11AE">
              <w:tab/>
            </w:r>
            <w:r w:rsidR="00CA207B">
              <w:t>of a State in which the said investment firm has established a branch,</w:t>
            </w:r>
          </w:p>
          <w:p w:rsidR="00B0673B" w:rsidRDefault="00CA207B" w:rsidP="00DA11AE">
            <w:pPr>
              <w:spacing w:before="120" w:after="120" w:line="252" w:lineRule="auto"/>
              <w:jc w:val="both"/>
            </w:pPr>
            <w:r>
              <w:t xml:space="preserve">provided that as regards the investment services offered in Belgium, the investment firm is subject, in its home State or in the host State of the establishment in question, to supervision that is equivalent to that of Belgian investment firms. </w:t>
            </w:r>
          </w:p>
          <w:p w:rsidR="00B0673B" w:rsidRDefault="00B0673B" w:rsidP="00DA11AE">
            <w:pPr>
              <w:spacing w:before="120" w:after="120" w:line="252" w:lineRule="auto"/>
              <w:jc w:val="both"/>
            </w:pPr>
            <w:r>
              <w:rPr>
                <w:rFonts w:ascii="Calibri" w:hAnsi="Calibri" w:cs="Times New Roman"/>
                <w:lang w:val="en-US" w:eastAsia="fr-BE"/>
              </w:rPr>
              <w:t>If applicable</w:t>
            </w:r>
            <w:r w:rsidRPr="007E11B5">
              <w:rPr>
                <w:rFonts w:ascii="Calibri" w:hAnsi="Calibri" w:cs="Times New Roman"/>
                <w:lang w:val="en-US" w:eastAsia="fr-BE"/>
              </w:rPr>
              <w:t xml:space="preserve">, please specify </w:t>
            </w:r>
            <w:r>
              <w:rPr>
                <w:rFonts w:ascii="Calibri" w:hAnsi="Calibri" w:cs="Times New Roman"/>
                <w:lang w:val="en-US" w:eastAsia="fr-BE"/>
              </w:rPr>
              <w:t xml:space="preserve">the host State of the establishment in question: </w:t>
            </w:r>
            <w:r>
              <w:t xml:space="preserve"> </w:t>
            </w:r>
          </w:p>
          <w:p w:rsidR="00B0673B" w:rsidRDefault="00B0673B" w:rsidP="00DA11AE">
            <w:pPr>
              <w:spacing w:before="120" w:after="120" w:line="252" w:lineRule="auto"/>
              <w:jc w:val="both"/>
            </w:pPr>
          </w:p>
        </w:tc>
      </w:tr>
    </w:tbl>
    <w:p w:rsidR="007A64AA" w:rsidRPr="005E01E1" w:rsidRDefault="007A64AA" w:rsidP="00A93AAB">
      <w:pPr>
        <w:pBdr>
          <w:top w:val="single" w:sz="4" w:space="1" w:color="auto"/>
          <w:left w:val="single" w:sz="4" w:space="1" w:color="auto"/>
          <w:bottom w:val="single" w:sz="4" w:space="1" w:color="auto"/>
          <w:right w:val="single" w:sz="4" w:space="4" w:color="auto"/>
        </w:pBdr>
        <w:ind w:right="-200"/>
        <w:jc w:val="both"/>
        <w:rPr>
          <w:lang w:val="en-US"/>
        </w:rPr>
      </w:pPr>
      <w:r w:rsidRPr="005E01E1">
        <w:rPr>
          <w:lang w:val="en-US"/>
        </w:rPr>
        <w:lastRenderedPageBreak/>
        <w:t xml:space="preserve">The personal data which you have provided to the FSMA via this form will be processed by the FSMA as set out in its </w:t>
      </w:r>
      <w:hyperlink r:id="rId11" w:history="1">
        <w:r w:rsidRPr="007A64AA">
          <w:rPr>
            <w:rFonts w:ascii="Calibri" w:eastAsia="Calibri" w:hAnsi="Calibri" w:cs="Times New Roman"/>
            <w:color w:val="1F4E79"/>
            <w:u w:val="single"/>
            <w:lang w:val="en-US"/>
          </w:rPr>
          <w:t>Privacy Policy</w:t>
        </w:r>
      </w:hyperlink>
      <w:r>
        <w:rPr>
          <w:rFonts w:ascii="Calibri" w:eastAsia="Calibri" w:hAnsi="Calibri" w:cs="Times New Roman"/>
          <w:color w:val="1F4E79"/>
        </w:rPr>
        <w:t>.</w:t>
      </w:r>
    </w:p>
    <w:p w:rsidR="00422185" w:rsidRPr="00C43BDD" w:rsidRDefault="00422185" w:rsidP="00422185">
      <w:pPr>
        <w:spacing w:after="0" w:line="240" w:lineRule="auto"/>
        <w:jc w:val="both"/>
        <w:rPr>
          <w:rFonts w:cs="Arial"/>
          <w:b/>
          <w:sz w:val="18"/>
          <w:szCs w:val="18"/>
          <w:lang w:val="en-US"/>
        </w:rPr>
      </w:pPr>
      <w:r w:rsidRPr="00C43BDD">
        <w:rPr>
          <w:rFonts w:cs="Arial"/>
          <w:b/>
          <w:sz w:val="18"/>
          <w:szCs w:val="18"/>
          <w:lang w:val="en-US"/>
        </w:rPr>
        <w:t>SECTION A</w:t>
      </w:r>
    </w:p>
    <w:p w:rsidR="00422185" w:rsidRPr="00C43BDD" w:rsidRDefault="00422185" w:rsidP="00422185">
      <w:pPr>
        <w:spacing w:after="0" w:line="240" w:lineRule="auto"/>
        <w:jc w:val="both"/>
        <w:rPr>
          <w:rFonts w:cs="Arial"/>
          <w:b/>
          <w:sz w:val="18"/>
          <w:szCs w:val="18"/>
          <w:lang w:val="en-US"/>
        </w:rPr>
      </w:pPr>
      <w:r w:rsidRPr="00C43BDD">
        <w:rPr>
          <w:rFonts w:cs="Arial"/>
          <w:b/>
          <w:sz w:val="18"/>
          <w:szCs w:val="18"/>
          <w:lang w:val="en-US"/>
        </w:rPr>
        <w:t>Investment services and activities</w:t>
      </w:r>
    </w:p>
    <w:p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(1) </w:t>
      </w:r>
      <w:r>
        <w:rPr>
          <w:rFonts w:cs="Arial"/>
          <w:sz w:val="18"/>
          <w:szCs w:val="18"/>
          <w:lang w:val="en-US"/>
        </w:rPr>
        <w:tab/>
      </w:r>
      <w:r w:rsidRPr="00C43BDD">
        <w:rPr>
          <w:rFonts w:cs="Arial"/>
          <w:sz w:val="18"/>
          <w:szCs w:val="18"/>
          <w:lang w:val="en-US"/>
        </w:rPr>
        <w:t xml:space="preserve">Reception and transmission of orders in relation to one or more financial instruments; </w:t>
      </w:r>
    </w:p>
    <w:p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(2) </w:t>
      </w:r>
      <w:r>
        <w:rPr>
          <w:rFonts w:cs="Arial"/>
          <w:sz w:val="18"/>
          <w:szCs w:val="18"/>
          <w:lang w:val="en-US"/>
        </w:rPr>
        <w:tab/>
      </w:r>
      <w:r w:rsidRPr="00C43BDD">
        <w:rPr>
          <w:rFonts w:cs="Arial"/>
          <w:sz w:val="18"/>
          <w:szCs w:val="18"/>
          <w:lang w:val="en-US"/>
        </w:rPr>
        <w:t xml:space="preserve">Execution of orders on behalf of clients; </w:t>
      </w:r>
    </w:p>
    <w:p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(3) </w:t>
      </w:r>
      <w:r>
        <w:rPr>
          <w:rFonts w:cs="Arial"/>
          <w:sz w:val="18"/>
          <w:szCs w:val="18"/>
          <w:lang w:val="en-US"/>
        </w:rPr>
        <w:tab/>
      </w:r>
      <w:r w:rsidRPr="00C43BDD">
        <w:rPr>
          <w:rFonts w:cs="Arial"/>
          <w:sz w:val="18"/>
          <w:szCs w:val="18"/>
          <w:lang w:val="en-US"/>
        </w:rPr>
        <w:t xml:space="preserve">Dealing on own account; </w:t>
      </w:r>
    </w:p>
    <w:p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(4) </w:t>
      </w:r>
      <w:r>
        <w:rPr>
          <w:rFonts w:cs="Arial"/>
          <w:sz w:val="18"/>
          <w:szCs w:val="18"/>
          <w:lang w:val="en-US"/>
        </w:rPr>
        <w:tab/>
      </w:r>
      <w:r w:rsidRPr="00C43BDD">
        <w:rPr>
          <w:rFonts w:cs="Arial"/>
          <w:sz w:val="18"/>
          <w:szCs w:val="18"/>
          <w:lang w:val="en-US"/>
        </w:rPr>
        <w:t xml:space="preserve">Portfolio management; </w:t>
      </w:r>
    </w:p>
    <w:p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(5) </w:t>
      </w:r>
      <w:r>
        <w:rPr>
          <w:rFonts w:cs="Arial"/>
          <w:sz w:val="18"/>
          <w:szCs w:val="18"/>
          <w:lang w:val="en-US"/>
        </w:rPr>
        <w:tab/>
      </w:r>
      <w:r w:rsidRPr="00C43BDD">
        <w:rPr>
          <w:rFonts w:cs="Arial"/>
          <w:sz w:val="18"/>
          <w:szCs w:val="18"/>
          <w:lang w:val="en-US"/>
        </w:rPr>
        <w:t xml:space="preserve">Investment advice; </w:t>
      </w:r>
    </w:p>
    <w:p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(6) </w:t>
      </w:r>
      <w:r>
        <w:rPr>
          <w:rFonts w:cs="Arial"/>
          <w:sz w:val="18"/>
          <w:szCs w:val="18"/>
          <w:lang w:val="en-US"/>
        </w:rPr>
        <w:tab/>
      </w:r>
      <w:r w:rsidRPr="00C43BDD">
        <w:rPr>
          <w:rFonts w:cs="Arial"/>
          <w:sz w:val="18"/>
          <w:szCs w:val="18"/>
          <w:lang w:val="en-US"/>
        </w:rPr>
        <w:t xml:space="preserve">Underwriting of financial instruments and/or placing of financial instruments on a firm commitment basis; </w:t>
      </w:r>
    </w:p>
    <w:p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(7) </w:t>
      </w:r>
      <w:r>
        <w:rPr>
          <w:rFonts w:cs="Arial"/>
          <w:sz w:val="18"/>
          <w:szCs w:val="18"/>
          <w:lang w:val="en-US"/>
        </w:rPr>
        <w:tab/>
      </w:r>
      <w:r w:rsidRPr="00C43BDD">
        <w:rPr>
          <w:rFonts w:cs="Arial"/>
          <w:sz w:val="18"/>
          <w:szCs w:val="18"/>
          <w:lang w:val="en-US"/>
        </w:rPr>
        <w:t xml:space="preserve">Placing of financial instruments without a firm commitment basis; </w:t>
      </w:r>
    </w:p>
    <w:p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(8) </w:t>
      </w:r>
      <w:r>
        <w:rPr>
          <w:rFonts w:cs="Arial"/>
          <w:sz w:val="18"/>
          <w:szCs w:val="18"/>
          <w:lang w:val="en-US"/>
        </w:rPr>
        <w:tab/>
      </w:r>
      <w:r w:rsidRPr="00C43BDD">
        <w:rPr>
          <w:rFonts w:cs="Arial"/>
          <w:sz w:val="18"/>
          <w:szCs w:val="18"/>
          <w:lang w:val="en-US"/>
        </w:rPr>
        <w:t xml:space="preserve">Operation of an MTF; </w:t>
      </w:r>
    </w:p>
    <w:p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(9) </w:t>
      </w:r>
      <w:r>
        <w:rPr>
          <w:rFonts w:cs="Arial"/>
          <w:sz w:val="18"/>
          <w:szCs w:val="18"/>
          <w:lang w:val="en-US"/>
        </w:rPr>
        <w:tab/>
      </w:r>
      <w:r w:rsidRPr="00C43BDD">
        <w:rPr>
          <w:rFonts w:cs="Arial"/>
          <w:sz w:val="18"/>
          <w:szCs w:val="18"/>
          <w:lang w:val="en-US"/>
        </w:rPr>
        <w:t>Operation of an OTF.</w:t>
      </w:r>
    </w:p>
    <w:p w:rsidR="00422185" w:rsidRPr="00C43BDD" w:rsidRDefault="00422185" w:rsidP="00422185">
      <w:pPr>
        <w:spacing w:before="240" w:after="0" w:line="240" w:lineRule="auto"/>
        <w:jc w:val="both"/>
        <w:rPr>
          <w:rFonts w:cs="Arial"/>
          <w:b/>
          <w:sz w:val="18"/>
          <w:szCs w:val="18"/>
          <w:lang w:val="en-US"/>
        </w:rPr>
      </w:pPr>
      <w:r w:rsidRPr="00C43BDD">
        <w:rPr>
          <w:rFonts w:cs="Arial"/>
          <w:b/>
          <w:sz w:val="18"/>
          <w:szCs w:val="18"/>
          <w:lang w:val="en-US"/>
        </w:rPr>
        <w:t>Section B</w:t>
      </w:r>
    </w:p>
    <w:p w:rsidR="00422185" w:rsidRPr="00C43BDD" w:rsidRDefault="00422185" w:rsidP="00422185">
      <w:pPr>
        <w:spacing w:after="0" w:line="240" w:lineRule="auto"/>
        <w:jc w:val="both"/>
        <w:rPr>
          <w:rFonts w:cs="Arial"/>
          <w:b/>
          <w:sz w:val="18"/>
          <w:szCs w:val="18"/>
          <w:lang w:val="en-US"/>
        </w:rPr>
      </w:pPr>
      <w:r w:rsidRPr="00C43BDD">
        <w:rPr>
          <w:rFonts w:cs="Arial"/>
          <w:b/>
          <w:sz w:val="18"/>
          <w:szCs w:val="18"/>
          <w:lang w:val="en-US"/>
        </w:rPr>
        <w:t>Ancillary services</w:t>
      </w:r>
    </w:p>
    <w:p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(1) </w:t>
      </w:r>
      <w:r>
        <w:rPr>
          <w:rFonts w:cs="Arial"/>
          <w:sz w:val="18"/>
          <w:szCs w:val="18"/>
          <w:lang w:val="en-US"/>
        </w:rPr>
        <w:tab/>
      </w:r>
      <w:r w:rsidRPr="00C43BDD">
        <w:rPr>
          <w:rFonts w:cs="Arial"/>
          <w:sz w:val="18"/>
          <w:szCs w:val="18"/>
          <w:lang w:val="en-US"/>
        </w:rPr>
        <w:t xml:space="preserve">Safekeeping and administration of financial instruments for the account of clients, including custodianship and related services such as cash/collateral management and excluding maintaining securities accounts at the top tier level; </w:t>
      </w:r>
    </w:p>
    <w:p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(2) </w:t>
      </w:r>
      <w:r>
        <w:rPr>
          <w:rFonts w:cs="Arial"/>
          <w:sz w:val="18"/>
          <w:szCs w:val="18"/>
          <w:lang w:val="en-US"/>
        </w:rPr>
        <w:tab/>
      </w:r>
      <w:r w:rsidRPr="00C43BDD">
        <w:rPr>
          <w:rFonts w:cs="Arial"/>
          <w:sz w:val="18"/>
          <w:szCs w:val="18"/>
          <w:lang w:val="en-US"/>
        </w:rPr>
        <w:t xml:space="preserve">Granting credits or loans to an investor to allow him to carry out a transaction in one or more financial instruments, where the firm granting the credit or loan is involved in the transaction; </w:t>
      </w:r>
    </w:p>
    <w:p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(3) </w:t>
      </w:r>
      <w:r>
        <w:rPr>
          <w:rFonts w:cs="Arial"/>
          <w:sz w:val="18"/>
          <w:szCs w:val="18"/>
          <w:lang w:val="en-US"/>
        </w:rPr>
        <w:tab/>
      </w:r>
      <w:r w:rsidRPr="00C43BDD">
        <w:rPr>
          <w:rFonts w:cs="Arial"/>
          <w:sz w:val="18"/>
          <w:szCs w:val="18"/>
          <w:lang w:val="en-US"/>
        </w:rPr>
        <w:t xml:space="preserve">Advice to undertakings on capital structure, industrial strategy and related matters and advice and services relating to mergers and the purchase of undertakings; </w:t>
      </w:r>
    </w:p>
    <w:p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(4) </w:t>
      </w:r>
      <w:r>
        <w:rPr>
          <w:rFonts w:cs="Arial"/>
          <w:sz w:val="18"/>
          <w:szCs w:val="18"/>
          <w:lang w:val="en-US"/>
        </w:rPr>
        <w:tab/>
      </w:r>
      <w:r w:rsidRPr="00C43BDD">
        <w:rPr>
          <w:rFonts w:cs="Arial"/>
          <w:sz w:val="18"/>
          <w:szCs w:val="18"/>
          <w:lang w:val="en-US"/>
        </w:rPr>
        <w:t xml:space="preserve">Foreign exchange services where these are connected to the provision of investment services; </w:t>
      </w:r>
    </w:p>
    <w:p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(5) </w:t>
      </w:r>
      <w:r>
        <w:rPr>
          <w:rFonts w:cs="Arial"/>
          <w:sz w:val="18"/>
          <w:szCs w:val="18"/>
          <w:lang w:val="en-US"/>
        </w:rPr>
        <w:tab/>
      </w:r>
      <w:r w:rsidRPr="00C43BDD">
        <w:rPr>
          <w:rFonts w:cs="Arial"/>
          <w:sz w:val="18"/>
          <w:szCs w:val="18"/>
          <w:lang w:val="en-US"/>
        </w:rPr>
        <w:t xml:space="preserve">Investment research and financial analysis or other forms of general recommendation relating to transactions in financial instruments; </w:t>
      </w:r>
    </w:p>
    <w:p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(6) </w:t>
      </w:r>
      <w:r>
        <w:rPr>
          <w:rFonts w:cs="Arial"/>
          <w:sz w:val="18"/>
          <w:szCs w:val="18"/>
          <w:lang w:val="en-US"/>
        </w:rPr>
        <w:tab/>
      </w:r>
      <w:r w:rsidRPr="00C43BDD">
        <w:rPr>
          <w:rFonts w:cs="Arial"/>
          <w:sz w:val="18"/>
          <w:szCs w:val="18"/>
          <w:lang w:val="en-US"/>
        </w:rPr>
        <w:t>Se</w:t>
      </w:r>
      <w:r>
        <w:rPr>
          <w:rFonts w:cs="Arial"/>
          <w:sz w:val="18"/>
          <w:szCs w:val="18"/>
          <w:lang w:val="en-US"/>
        </w:rPr>
        <w:t>rvices related to underwriting;</w:t>
      </w:r>
    </w:p>
    <w:p w:rsidR="005E01E1"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(7) </w:t>
      </w:r>
      <w:r>
        <w:rPr>
          <w:rFonts w:cs="Arial"/>
          <w:sz w:val="18"/>
          <w:szCs w:val="18"/>
          <w:lang w:val="en-US"/>
        </w:rPr>
        <w:tab/>
      </w:r>
      <w:r w:rsidRPr="00C43BDD">
        <w:rPr>
          <w:rFonts w:cs="Arial"/>
          <w:sz w:val="18"/>
          <w:szCs w:val="18"/>
          <w:lang w:val="en-US"/>
        </w:rPr>
        <w:t>Investment services and activities as well as ancillary services of the type included under Section A or B of Annex 1 related to the underlying of the derivatives included under points (5), (6), (7) and (10) of Section C where these are connected to the provision of investment or ancillary services.</w:t>
      </w:r>
    </w:p>
    <w:sectPr w:rsidR="005E01E1" w:rsidRPr="00C43BDD" w:rsidSect="00A93AAB">
      <w:headerReference w:type="default" r:id="rId12"/>
      <w:footerReference w:type="default" r:id="rId13"/>
      <w:headerReference w:type="first" r:id="rId14"/>
      <w:footerReference w:type="first" r:id="rId15"/>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E36" w:rsidRDefault="00FD7E36" w:rsidP="00882CD2">
      <w:pPr>
        <w:spacing w:after="0" w:line="240" w:lineRule="auto"/>
      </w:pPr>
      <w:r>
        <w:separator/>
      </w:r>
    </w:p>
  </w:endnote>
  <w:endnote w:type="continuationSeparator" w:id="0">
    <w:p w:rsidR="00FD7E36" w:rsidRDefault="00FD7E36"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otham Rounded Book">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873" w:rsidRPr="00570CC8" w:rsidRDefault="007945CB" w:rsidP="00F54DCB">
    <w:pPr>
      <w:pStyle w:val="Footer"/>
      <w:tabs>
        <w:tab w:val="clear" w:pos="4513"/>
        <w:tab w:val="clear" w:pos="9026"/>
        <w:tab w:val="left" w:pos="6691"/>
      </w:tabs>
      <w:rPr>
        <w:rFonts w:ascii="Gotham Rounded Book" w:hAnsi="Gotham Rounded Book"/>
        <w:sz w:val="14"/>
        <w:szCs w:val="14"/>
        <w:lang w:val="fr-FR"/>
      </w:rPr>
    </w:pPr>
    <w:r w:rsidRPr="00570CC8">
      <w:rPr>
        <w:rFonts w:ascii="Gotham Rounded Book" w:hAnsi="Gotham Rounded Book"/>
        <w:sz w:val="14"/>
        <w:szCs w:val="14"/>
        <w:lang w:val="fr-FR"/>
      </w:rPr>
      <w:t>rue du Congrès 12-14      1000 Bru</w:t>
    </w:r>
    <w:r w:rsidR="00871482" w:rsidRPr="00570CC8">
      <w:rPr>
        <w:rFonts w:ascii="Gotham Rounded Book" w:hAnsi="Gotham Rounded Book"/>
        <w:sz w:val="14"/>
        <w:szCs w:val="14"/>
        <w:lang w:val="fr-FR"/>
      </w:rPr>
      <w:t>ssels</w:t>
    </w:r>
    <w:r w:rsidR="002E4873" w:rsidRPr="00570CC8">
      <w:rPr>
        <w:rFonts w:ascii="Gotham Rounded Book" w:hAnsi="Gotham Rounded Book"/>
        <w:sz w:val="14"/>
        <w:szCs w:val="14"/>
        <w:lang w:val="fr-FR"/>
      </w:rPr>
      <w:t xml:space="preserve">      T </w:t>
    </w:r>
    <w:bookmarkStart w:id="3" w:name="bkmPhoneService"/>
    <w:bookmarkEnd w:id="3"/>
    <w:r w:rsidR="00833A3F" w:rsidRPr="00570CC8">
      <w:rPr>
        <w:rFonts w:ascii="Gotham Rounded Book" w:hAnsi="Gotham Rounded Book"/>
        <w:sz w:val="14"/>
        <w:szCs w:val="14"/>
        <w:lang w:val="fr-FR"/>
      </w:rPr>
      <w:t xml:space="preserve">+32 2 220 </w:t>
    </w:r>
    <w:r w:rsidR="00653354" w:rsidRPr="00570CC8">
      <w:rPr>
        <w:rFonts w:ascii="Gotham Rounded Book" w:hAnsi="Gotham Rounded Book"/>
        <w:sz w:val="14"/>
        <w:szCs w:val="14"/>
        <w:lang w:val="fr-FR"/>
      </w:rPr>
      <w:t>5</w:t>
    </w:r>
    <w:sdt>
      <w:sdtPr>
        <w:rPr>
          <w:rFonts w:ascii="Gotham Rounded Book" w:hAnsi="Gotham Rounded Book"/>
          <w:sz w:val="14"/>
          <w:szCs w:val="14"/>
        </w:rPr>
        <w:id w:val="2352901"/>
      </w:sdtPr>
      <w:sdtEndPr/>
      <w:sdtContent>
        <w:r w:rsidR="00422185" w:rsidRPr="00422185">
          <w:rPr>
            <w:rFonts w:ascii="Gotham Rounded Book" w:hAnsi="Gotham Rounded Book"/>
            <w:sz w:val="14"/>
            <w:szCs w:val="14"/>
            <w:lang w:val="fr-BE"/>
          </w:rPr>
          <w:t>5 25</w:t>
        </w:r>
      </w:sdtContent>
    </w:sdt>
    <w:r w:rsidR="002E4873" w:rsidRPr="00570CC8">
      <w:rPr>
        <w:rFonts w:ascii="Gotham Rounded Book" w:hAnsi="Gotham Rounded Book"/>
        <w:sz w:val="14"/>
        <w:szCs w:val="14"/>
        <w:lang w:val="fr-FR"/>
      </w:rPr>
      <w:t xml:space="preserve">      F </w:t>
    </w:r>
    <w:bookmarkStart w:id="4" w:name="bkmFaxService"/>
    <w:bookmarkEnd w:id="4"/>
    <w:r w:rsidR="00833A3F" w:rsidRPr="00570CC8">
      <w:rPr>
        <w:rFonts w:ascii="Gotham Rounded Book" w:hAnsi="Gotham Rounded Book"/>
        <w:sz w:val="14"/>
        <w:szCs w:val="14"/>
        <w:lang w:val="fr-FR"/>
      </w:rPr>
      <w:t xml:space="preserve">+32 2 220 </w:t>
    </w:r>
    <w:r w:rsidR="00653354" w:rsidRPr="00570CC8">
      <w:rPr>
        <w:rFonts w:ascii="Gotham Rounded Book" w:hAnsi="Gotham Rounded Book"/>
        <w:sz w:val="14"/>
        <w:szCs w:val="14"/>
        <w:lang w:val="fr-FR"/>
      </w:rPr>
      <w:t>5</w:t>
    </w:r>
    <w:sdt>
      <w:sdtPr>
        <w:rPr>
          <w:rFonts w:ascii="Gotham Rounded Book" w:hAnsi="Gotham Rounded Book"/>
          <w:sz w:val="14"/>
          <w:szCs w:val="14"/>
        </w:rPr>
        <w:id w:val="2352905"/>
      </w:sdtPr>
      <w:sdtEndPr/>
      <w:sdtContent>
        <w:r w:rsidR="00422185" w:rsidRPr="00422185">
          <w:rPr>
            <w:rFonts w:ascii="Gotham Rounded Book" w:hAnsi="Gotham Rounded Book"/>
            <w:sz w:val="14"/>
            <w:szCs w:val="14"/>
            <w:lang w:val="fr-BE"/>
          </w:rPr>
          <w:t>9 30</w:t>
        </w:r>
      </w:sdtContent>
    </w:sdt>
    <w:r w:rsidR="002E4873" w:rsidRPr="00570CC8">
      <w:rPr>
        <w:rFonts w:ascii="Gotham Rounded Book" w:hAnsi="Gotham Rounded Book"/>
        <w:sz w:val="14"/>
        <w:szCs w:val="14"/>
        <w:lang w:val="fr-FR"/>
      </w:rPr>
      <w:tab/>
    </w:r>
    <w:r w:rsidR="002E4873" w:rsidRPr="00570CC8">
      <w:rPr>
        <w:rFonts w:ascii="Gotham Rounded Book" w:hAnsi="Gotham Rounded Book"/>
        <w:b/>
        <w:color w:val="BBCC00" w:themeColor="accent3"/>
        <w:sz w:val="14"/>
        <w:szCs w:val="14"/>
        <w:lang w:val="fr-FR"/>
      </w:rPr>
      <w:t>/</w:t>
    </w:r>
    <w:r w:rsidR="002E4873" w:rsidRPr="00570CC8">
      <w:rPr>
        <w:rFonts w:ascii="Gotham Rounded Book" w:hAnsi="Gotham Rounded Book"/>
        <w:sz w:val="14"/>
        <w:szCs w:val="14"/>
        <w:lang w:val="fr-FR"/>
      </w:rPr>
      <w:t xml:space="preserve"> www.fsma.be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E36" w:rsidRDefault="00FD7E36" w:rsidP="00882CD2">
      <w:pPr>
        <w:spacing w:after="0" w:line="240" w:lineRule="auto"/>
      </w:pPr>
      <w:r>
        <w:separator/>
      </w:r>
    </w:p>
  </w:footnote>
  <w:footnote w:type="continuationSeparator" w:id="0">
    <w:p w:rsidR="00FD7E36" w:rsidRDefault="00FD7E36" w:rsidP="00882CD2">
      <w:pPr>
        <w:spacing w:after="0" w:line="240" w:lineRule="auto"/>
      </w:pPr>
      <w:r>
        <w:continuationSeparator/>
      </w:r>
    </w:p>
  </w:footnote>
  <w:footnote w:id="1">
    <w:p w:rsidR="005E36AF" w:rsidRPr="005E36AF" w:rsidRDefault="005E36AF" w:rsidP="00DA11AE">
      <w:pPr>
        <w:pStyle w:val="FootnoteText"/>
        <w:ind w:left="284" w:hanging="284"/>
        <w:jc w:val="both"/>
      </w:pPr>
      <w:r w:rsidRPr="005E36AF">
        <w:rPr>
          <w:rStyle w:val="FootnoteReference"/>
          <w:rFonts w:eastAsiaTheme="majorEastAsia"/>
        </w:rPr>
        <w:footnoteRef/>
      </w:r>
      <w:r w:rsidRPr="005E36AF">
        <w:rPr>
          <w:rStyle w:val="FootnoteReference"/>
          <w:rFonts w:eastAsiaTheme="majorEastAsia"/>
        </w:rPr>
        <w:t xml:space="preserve"> </w:t>
      </w:r>
      <w:r w:rsidR="00DA11AE">
        <w:rPr>
          <w:rFonts w:eastAsiaTheme="majorEastAsia"/>
        </w:rPr>
        <w:tab/>
      </w:r>
      <w:r>
        <w:t>As defined in Article 3 of the Belgian Royal Decree of 19 December 2017 laying down detailed rules on the implementation of the directive on markets in financial instruments.</w:t>
      </w:r>
    </w:p>
  </w:footnote>
  <w:footnote w:id="2">
    <w:p w:rsidR="005E36AF" w:rsidRPr="005E36AF" w:rsidRDefault="005E36AF" w:rsidP="00DA11AE">
      <w:pPr>
        <w:pStyle w:val="FootnoteText"/>
        <w:ind w:left="284" w:hanging="284"/>
        <w:jc w:val="both"/>
      </w:pPr>
      <w:r>
        <w:rPr>
          <w:rStyle w:val="FootnoteReference"/>
        </w:rPr>
        <w:footnoteRef/>
      </w:r>
      <w:r>
        <w:t xml:space="preserve"> </w:t>
      </w:r>
      <w:r w:rsidR="00DA11AE">
        <w:tab/>
      </w:r>
      <w:r>
        <w:t>As referred to in Section I of the Annex to the Belgian Royal Decree of 19 December 2017 laying down detailed rules on the implementation of the directive on markets in financial instruments.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873" w:rsidRPr="00A60EE1" w:rsidRDefault="00B94CE0"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B71C1A">
      <w:rPr>
        <w:b/>
        <w:noProof/>
        <w:sz w:val="14"/>
        <w:szCs w:val="14"/>
      </w:rPr>
      <w:t>3</w:t>
    </w:r>
    <w:r w:rsidRPr="00930E51">
      <w:rPr>
        <w:b/>
        <w:sz w:val="14"/>
        <w:szCs w:val="14"/>
      </w:rPr>
      <w:fldChar w:fldCharType="end"/>
    </w:r>
    <w:r w:rsidR="009653AD">
      <w:rPr>
        <w:b/>
        <w:sz w:val="14"/>
        <w:szCs w:val="14"/>
      </w:rPr>
      <w:t>/</w:t>
    </w:r>
    <w:r w:rsidR="004950BA">
      <w:rPr>
        <w:b/>
        <w:noProof/>
        <w:sz w:val="14"/>
        <w:szCs w:val="14"/>
      </w:rPr>
      <w:fldChar w:fldCharType="begin"/>
    </w:r>
    <w:r w:rsidR="004950BA">
      <w:rPr>
        <w:b/>
        <w:noProof/>
        <w:sz w:val="14"/>
        <w:szCs w:val="14"/>
      </w:rPr>
      <w:instrText xml:space="preserve"> NUMPAGES   \* MERGEFORMAT </w:instrText>
    </w:r>
    <w:r w:rsidR="004950BA">
      <w:rPr>
        <w:b/>
        <w:noProof/>
        <w:sz w:val="14"/>
        <w:szCs w:val="14"/>
      </w:rPr>
      <w:fldChar w:fldCharType="separate"/>
    </w:r>
    <w:r w:rsidR="00B71C1A">
      <w:rPr>
        <w:b/>
        <w:noProof/>
        <w:sz w:val="14"/>
        <w:szCs w:val="14"/>
      </w:rPr>
      <w:t>3</w:t>
    </w:r>
    <w:r w:rsidR="004950B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 w:name="bkmOurReference2"/>
    <w:bookmarkEnd w:id="1"/>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1507C5">
          <w:rPr>
            <w:sz w:val="14"/>
            <w:szCs w:val="14"/>
            <w:lang w:val="af-ZA"/>
          </w:rPr>
          <w:t>Annex Communication FSMA_2019_07_01</w:t>
        </w:r>
      </w:sdtContent>
    </w:sdt>
    <w:r w:rsidR="009653AD" w:rsidRPr="009653AD">
      <w:rPr>
        <w:sz w:val="14"/>
        <w:szCs w:val="14"/>
        <w:lang w:val="af-ZA"/>
      </w:rPr>
      <w:t xml:space="preserve"> </w:t>
    </w:r>
    <w:r w:rsidR="00871482">
      <w:rPr>
        <w:sz w:val="14"/>
        <w:szCs w:val="14"/>
        <w:lang w:val="af-ZA"/>
      </w:rPr>
      <w:t>of</w:t>
    </w:r>
    <w:r w:rsidR="00394B87">
      <w:rPr>
        <w:sz w:val="14"/>
        <w:szCs w:val="14"/>
        <w:lang w:val="af-ZA"/>
      </w:rPr>
      <w:t xml:space="preserve"> </w:t>
    </w:r>
    <w:sdt>
      <w:sdtPr>
        <w:rPr>
          <w:sz w:val="14"/>
          <w:szCs w:val="14"/>
          <w:lang w:val="af-ZA"/>
        </w:rPr>
        <w:id w:val="21044235"/>
        <w:date w:fullDate="2018-06-19T00:00:00Z">
          <w:dateFormat w:val="M/d/yyyy"/>
          <w:lid w:val="en-US"/>
          <w:storeMappedDataAs w:val="dateTime"/>
          <w:calendar w:val="gregorian"/>
        </w:date>
      </w:sdtPr>
      <w:sdtEndPr/>
      <w:sdtContent/>
    </w:sdt>
    <w:bookmarkStart w:id="2" w:name="bkmTitle2"/>
    <w:bookmarkEnd w:id="2"/>
    <w:r w:rsidR="00E06264" w:rsidRPr="00E06264">
      <w:t xml:space="preserve"> </w:t>
    </w:r>
    <w:r w:rsidR="00E06264" w:rsidRPr="00E06264">
      <w:rPr>
        <w:sz w:val="14"/>
        <w:szCs w:val="14"/>
        <w:lang w:val="af-ZA"/>
      </w:rPr>
      <w:t>2/21/2019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481" w:rsidRDefault="001F3481">
    <w:pPr>
      <w:pStyle w:val="Header"/>
    </w:pPr>
    <w:r>
      <w:rPr>
        <w:noProof/>
        <w:lang w:val="fr-BE" w:eastAsia="fr-BE"/>
      </w:rPr>
      <w:drawing>
        <wp:anchor distT="0" distB="0" distL="114300" distR="114300" simplePos="0" relativeHeight="251659264" behindDoc="0" locked="0" layoutInCell="1" allowOverlap="1" wp14:anchorId="72569026" wp14:editId="3FFE4485">
          <wp:simplePos x="0" y="0"/>
          <wp:positionH relativeFrom="page">
            <wp:posOffset>1116330</wp:posOffset>
          </wp:positionH>
          <wp:positionV relativeFrom="page">
            <wp:posOffset>215900</wp:posOffset>
          </wp:positionV>
          <wp:extent cx="181753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17533" cy="100940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515F8C"/>
    <w:multiLevelType w:val="multilevel"/>
    <w:tmpl w:val="4E403F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B0E"/>
    <w:rsid w:val="00011035"/>
    <w:rsid w:val="00022F1B"/>
    <w:rsid w:val="0003015F"/>
    <w:rsid w:val="00042475"/>
    <w:rsid w:val="0007146D"/>
    <w:rsid w:val="00083008"/>
    <w:rsid w:val="00090325"/>
    <w:rsid w:val="00095003"/>
    <w:rsid w:val="000B4062"/>
    <w:rsid w:val="000B5BA4"/>
    <w:rsid w:val="000E08BA"/>
    <w:rsid w:val="000E75C2"/>
    <w:rsid w:val="000F6E4C"/>
    <w:rsid w:val="00101AAA"/>
    <w:rsid w:val="0010797A"/>
    <w:rsid w:val="001114D2"/>
    <w:rsid w:val="00115592"/>
    <w:rsid w:val="00123B9B"/>
    <w:rsid w:val="00126171"/>
    <w:rsid w:val="00133138"/>
    <w:rsid w:val="0014237E"/>
    <w:rsid w:val="00142A64"/>
    <w:rsid w:val="0014758E"/>
    <w:rsid w:val="001507C5"/>
    <w:rsid w:val="00163B3A"/>
    <w:rsid w:val="0017439D"/>
    <w:rsid w:val="001777F7"/>
    <w:rsid w:val="00196400"/>
    <w:rsid w:val="001A0F7B"/>
    <w:rsid w:val="001B5108"/>
    <w:rsid w:val="001C60C1"/>
    <w:rsid w:val="001C7498"/>
    <w:rsid w:val="001D3324"/>
    <w:rsid w:val="001F3481"/>
    <w:rsid w:val="001F57B7"/>
    <w:rsid w:val="0021658D"/>
    <w:rsid w:val="002368EB"/>
    <w:rsid w:val="0024056B"/>
    <w:rsid w:val="00246D73"/>
    <w:rsid w:val="00261BE9"/>
    <w:rsid w:val="0026408C"/>
    <w:rsid w:val="0027345F"/>
    <w:rsid w:val="0027735D"/>
    <w:rsid w:val="002A4B22"/>
    <w:rsid w:val="002A6267"/>
    <w:rsid w:val="002B5070"/>
    <w:rsid w:val="002C5147"/>
    <w:rsid w:val="002D08EB"/>
    <w:rsid w:val="002E2B82"/>
    <w:rsid w:val="002E4873"/>
    <w:rsid w:val="00302E5A"/>
    <w:rsid w:val="0031653A"/>
    <w:rsid w:val="003232C4"/>
    <w:rsid w:val="00326FE0"/>
    <w:rsid w:val="00327401"/>
    <w:rsid w:val="00327D6A"/>
    <w:rsid w:val="00335E47"/>
    <w:rsid w:val="003447B9"/>
    <w:rsid w:val="003519A2"/>
    <w:rsid w:val="003554C9"/>
    <w:rsid w:val="0039004F"/>
    <w:rsid w:val="003902FA"/>
    <w:rsid w:val="00394B87"/>
    <w:rsid w:val="003A04E7"/>
    <w:rsid w:val="003A4C79"/>
    <w:rsid w:val="003B18FB"/>
    <w:rsid w:val="003D04CE"/>
    <w:rsid w:val="003D7787"/>
    <w:rsid w:val="003F4914"/>
    <w:rsid w:val="00403663"/>
    <w:rsid w:val="00412C74"/>
    <w:rsid w:val="00414650"/>
    <w:rsid w:val="00422185"/>
    <w:rsid w:val="0043279B"/>
    <w:rsid w:val="00437A14"/>
    <w:rsid w:val="0044630C"/>
    <w:rsid w:val="00467083"/>
    <w:rsid w:val="0049090F"/>
    <w:rsid w:val="004950BA"/>
    <w:rsid w:val="00495DFB"/>
    <w:rsid w:val="004C5891"/>
    <w:rsid w:val="004E3C43"/>
    <w:rsid w:val="004E3FE0"/>
    <w:rsid w:val="005131A3"/>
    <w:rsid w:val="00521207"/>
    <w:rsid w:val="00521CF3"/>
    <w:rsid w:val="005454C0"/>
    <w:rsid w:val="0054674E"/>
    <w:rsid w:val="00553DC9"/>
    <w:rsid w:val="00570CC8"/>
    <w:rsid w:val="005824AA"/>
    <w:rsid w:val="00593F2A"/>
    <w:rsid w:val="005A01D5"/>
    <w:rsid w:val="005B10E2"/>
    <w:rsid w:val="005B148A"/>
    <w:rsid w:val="005C151E"/>
    <w:rsid w:val="005D47A1"/>
    <w:rsid w:val="005E01E1"/>
    <w:rsid w:val="005E36AF"/>
    <w:rsid w:val="005F38DD"/>
    <w:rsid w:val="005F417F"/>
    <w:rsid w:val="0060097B"/>
    <w:rsid w:val="00636014"/>
    <w:rsid w:val="00643E9F"/>
    <w:rsid w:val="00647F08"/>
    <w:rsid w:val="00650D96"/>
    <w:rsid w:val="00653354"/>
    <w:rsid w:val="006634DC"/>
    <w:rsid w:val="006869D7"/>
    <w:rsid w:val="00690925"/>
    <w:rsid w:val="00691CF3"/>
    <w:rsid w:val="006932C9"/>
    <w:rsid w:val="006A029A"/>
    <w:rsid w:val="006C79D9"/>
    <w:rsid w:val="006D4529"/>
    <w:rsid w:val="006D5645"/>
    <w:rsid w:val="00707C99"/>
    <w:rsid w:val="00707E24"/>
    <w:rsid w:val="00721FC9"/>
    <w:rsid w:val="00725D43"/>
    <w:rsid w:val="0073513A"/>
    <w:rsid w:val="0074255C"/>
    <w:rsid w:val="00752B7C"/>
    <w:rsid w:val="0076476E"/>
    <w:rsid w:val="00766A3E"/>
    <w:rsid w:val="0077431A"/>
    <w:rsid w:val="007945CB"/>
    <w:rsid w:val="007A4C48"/>
    <w:rsid w:val="007A5882"/>
    <w:rsid w:val="007A64AA"/>
    <w:rsid w:val="007B7678"/>
    <w:rsid w:val="007C0735"/>
    <w:rsid w:val="007E301F"/>
    <w:rsid w:val="007F23DC"/>
    <w:rsid w:val="007F3321"/>
    <w:rsid w:val="008034CA"/>
    <w:rsid w:val="00822796"/>
    <w:rsid w:val="00823BC5"/>
    <w:rsid w:val="00830AED"/>
    <w:rsid w:val="00833A3F"/>
    <w:rsid w:val="00833B67"/>
    <w:rsid w:val="00846214"/>
    <w:rsid w:val="00871482"/>
    <w:rsid w:val="008719CB"/>
    <w:rsid w:val="0087544B"/>
    <w:rsid w:val="00882CD2"/>
    <w:rsid w:val="00886CDE"/>
    <w:rsid w:val="00893729"/>
    <w:rsid w:val="008A2E45"/>
    <w:rsid w:val="008D0DAF"/>
    <w:rsid w:val="008D378D"/>
    <w:rsid w:val="008E51DB"/>
    <w:rsid w:val="008F2635"/>
    <w:rsid w:val="008F668A"/>
    <w:rsid w:val="008F7586"/>
    <w:rsid w:val="009008C7"/>
    <w:rsid w:val="00906825"/>
    <w:rsid w:val="00907C69"/>
    <w:rsid w:val="00917123"/>
    <w:rsid w:val="00930E51"/>
    <w:rsid w:val="00943BAF"/>
    <w:rsid w:val="0095324E"/>
    <w:rsid w:val="009607C2"/>
    <w:rsid w:val="009653AD"/>
    <w:rsid w:val="009703B2"/>
    <w:rsid w:val="009836C2"/>
    <w:rsid w:val="00990B77"/>
    <w:rsid w:val="009B014E"/>
    <w:rsid w:val="009B12E0"/>
    <w:rsid w:val="009D1034"/>
    <w:rsid w:val="009E25C5"/>
    <w:rsid w:val="009E3630"/>
    <w:rsid w:val="009E5C34"/>
    <w:rsid w:val="00A11C81"/>
    <w:rsid w:val="00A16D54"/>
    <w:rsid w:val="00A2165E"/>
    <w:rsid w:val="00A25C5A"/>
    <w:rsid w:val="00A37BC2"/>
    <w:rsid w:val="00A4009F"/>
    <w:rsid w:val="00A45A01"/>
    <w:rsid w:val="00A54581"/>
    <w:rsid w:val="00A60EE1"/>
    <w:rsid w:val="00A66F34"/>
    <w:rsid w:val="00A71F39"/>
    <w:rsid w:val="00A7232E"/>
    <w:rsid w:val="00A87119"/>
    <w:rsid w:val="00A91322"/>
    <w:rsid w:val="00A93AAB"/>
    <w:rsid w:val="00A94B0E"/>
    <w:rsid w:val="00AF2798"/>
    <w:rsid w:val="00AF7885"/>
    <w:rsid w:val="00B0465B"/>
    <w:rsid w:val="00B0673B"/>
    <w:rsid w:val="00B21EC8"/>
    <w:rsid w:val="00B50EFE"/>
    <w:rsid w:val="00B71C1A"/>
    <w:rsid w:val="00B80898"/>
    <w:rsid w:val="00B83FD3"/>
    <w:rsid w:val="00B94CE0"/>
    <w:rsid w:val="00BA1666"/>
    <w:rsid w:val="00BA2C57"/>
    <w:rsid w:val="00BD0041"/>
    <w:rsid w:val="00BF6060"/>
    <w:rsid w:val="00C11AC1"/>
    <w:rsid w:val="00C12221"/>
    <w:rsid w:val="00C32D41"/>
    <w:rsid w:val="00C52236"/>
    <w:rsid w:val="00C86AE2"/>
    <w:rsid w:val="00C93092"/>
    <w:rsid w:val="00CA207B"/>
    <w:rsid w:val="00CE13CC"/>
    <w:rsid w:val="00CF335A"/>
    <w:rsid w:val="00CF3EC3"/>
    <w:rsid w:val="00D04392"/>
    <w:rsid w:val="00D16121"/>
    <w:rsid w:val="00D20CDE"/>
    <w:rsid w:val="00D25D92"/>
    <w:rsid w:val="00D2686D"/>
    <w:rsid w:val="00D34AE4"/>
    <w:rsid w:val="00D56856"/>
    <w:rsid w:val="00D57820"/>
    <w:rsid w:val="00D70B4A"/>
    <w:rsid w:val="00D72CDA"/>
    <w:rsid w:val="00D81C58"/>
    <w:rsid w:val="00D9781C"/>
    <w:rsid w:val="00DA11AE"/>
    <w:rsid w:val="00DB7939"/>
    <w:rsid w:val="00DC1837"/>
    <w:rsid w:val="00E06264"/>
    <w:rsid w:val="00E16BBF"/>
    <w:rsid w:val="00E208CF"/>
    <w:rsid w:val="00E4189D"/>
    <w:rsid w:val="00E755A8"/>
    <w:rsid w:val="00E95EF4"/>
    <w:rsid w:val="00E978CB"/>
    <w:rsid w:val="00EE6E45"/>
    <w:rsid w:val="00EF46B9"/>
    <w:rsid w:val="00F16076"/>
    <w:rsid w:val="00F17728"/>
    <w:rsid w:val="00F27955"/>
    <w:rsid w:val="00F4657F"/>
    <w:rsid w:val="00F46B20"/>
    <w:rsid w:val="00F54DCB"/>
    <w:rsid w:val="00F56ACF"/>
    <w:rsid w:val="00F6257F"/>
    <w:rsid w:val="00F75DE6"/>
    <w:rsid w:val="00F80A58"/>
    <w:rsid w:val="00F87C0F"/>
    <w:rsid w:val="00FD3914"/>
    <w:rsid w:val="00FD7D0D"/>
    <w:rsid w:val="00FD7E36"/>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54176C-587D-407C-842C-E23409D6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45F"/>
    <w:pPr>
      <w:spacing w:after="260" w:line="260" w:lineRule="atLeast"/>
    </w:pPr>
    <w:rPr>
      <w:lang w:val="en-GB"/>
    </w:rPr>
  </w:style>
  <w:style w:type="paragraph" w:styleId="Heading1">
    <w:name w:val="heading 1"/>
    <w:basedOn w:val="Normal"/>
    <w:next w:val="Normal"/>
    <w:link w:val="Heading1Char"/>
    <w:uiPriority w:val="9"/>
    <w:rsid w:val="00422185"/>
    <w:pPr>
      <w:keepNext/>
      <w:keepLines/>
      <w:numPr>
        <w:numId w:val="1"/>
      </w:numPr>
      <w:spacing w:before="120" w:after="120"/>
      <w:outlineLvl w:val="0"/>
    </w:pPr>
    <w:rPr>
      <w:rFonts w:eastAsiaTheme="majorEastAsia" w:cstheme="majorBidi"/>
      <w:b/>
      <w:color w:val="001932" w:themeColor="accent1" w:themeShade="BF"/>
      <w:sz w:val="28"/>
      <w:szCs w:val="32"/>
      <w:lang w:val="fr-BE"/>
    </w:rPr>
  </w:style>
  <w:style w:type="paragraph" w:styleId="Heading2">
    <w:name w:val="heading 2"/>
    <w:basedOn w:val="Normal"/>
    <w:next w:val="Normal"/>
    <w:link w:val="Heading2Char"/>
    <w:uiPriority w:val="9"/>
    <w:unhideWhenUsed/>
    <w:rsid w:val="00422185"/>
    <w:pPr>
      <w:keepNext/>
      <w:keepLines/>
      <w:numPr>
        <w:ilvl w:val="1"/>
        <w:numId w:val="1"/>
      </w:numPr>
      <w:spacing w:before="120" w:after="120"/>
      <w:ind w:left="578" w:hanging="578"/>
      <w:outlineLvl w:val="1"/>
    </w:pPr>
    <w:rPr>
      <w:rFonts w:ascii="Calibri Light" w:eastAsiaTheme="majorEastAsia" w:hAnsi="Calibri Light" w:cstheme="majorBidi"/>
      <w:b/>
      <w:color w:val="001932" w:themeColor="accent1" w:themeShade="BF"/>
      <w:sz w:val="24"/>
      <w:szCs w:val="26"/>
      <w:lang w:val="fr-BE"/>
    </w:rPr>
  </w:style>
  <w:style w:type="paragraph" w:styleId="Heading3">
    <w:name w:val="heading 3"/>
    <w:basedOn w:val="Normal"/>
    <w:next w:val="Normal"/>
    <w:link w:val="Heading3Char"/>
    <w:uiPriority w:val="9"/>
    <w:unhideWhenUsed/>
    <w:qFormat/>
    <w:rsid w:val="00422185"/>
    <w:pPr>
      <w:keepNext/>
      <w:keepLines/>
      <w:numPr>
        <w:ilvl w:val="2"/>
        <w:numId w:val="1"/>
      </w:numPr>
      <w:spacing w:before="40" w:after="240"/>
      <w:outlineLvl w:val="2"/>
    </w:pPr>
    <w:rPr>
      <w:rFonts w:ascii="Calibri" w:eastAsiaTheme="majorEastAsia" w:hAnsi="Calibri" w:cstheme="majorBidi"/>
      <w:color w:val="001021" w:themeColor="accent1" w:themeShade="7F"/>
      <w:sz w:val="24"/>
      <w:szCs w:val="24"/>
      <w:lang w:val="en-US"/>
    </w:rPr>
  </w:style>
  <w:style w:type="paragraph" w:styleId="Heading4">
    <w:name w:val="heading 4"/>
    <w:basedOn w:val="Normal"/>
    <w:next w:val="Normal"/>
    <w:link w:val="Heading4Char"/>
    <w:uiPriority w:val="9"/>
    <w:semiHidden/>
    <w:unhideWhenUsed/>
    <w:qFormat/>
    <w:rsid w:val="00422185"/>
    <w:pPr>
      <w:keepNext/>
      <w:keepLines/>
      <w:numPr>
        <w:ilvl w:val="3"/>
        <w:numId w:val="1"/>
      </w:numPr>
      <w:spacing w:before="40" w:after="0"/>
      <w:outlineLvl w:val="3"/>
    </w:pPr>
    <w:rPr>
      <w:rFonts w:asciiTheme="majorHAnsi" w:eastAsiaTheme="majorEastAsia" w:hAnsiTheme="majorHAnsi" w:cstheme="majorBidi"/>
      <w:i/>
      <w:iCs/>
      <w:color w:val="001932" w:themeColor="accent1" w:themeShade="BF"/>
      <w:lang w:val="fr-BE"/>
    </w:rPr>
  </w:style>
  <w:style w:type="paragraph" w:styleId="Heading5">
    <w:name w:val="heading 5"/>
    <w:basedOn w:val="Normal"/>
    <w:next w:val="Normal"/>
    <w:link w:val="Heading5Char"/>
    <w:uiPriority w:val="9"/>
    <w:semiHidden/>
    <w:unhideWhenUsed/>
    <w:qFormat/>
    <w:rsid w:val="00422185"/>
    <w:pPr>
      <w:keepNext/>
      <w:keepLines/>
      <w:numPr>
        <w:ilvl w:val="4"/>
        <w:numId w:val="1"/>
      </w:numPr>
      <w:spacing w:before="40" w:after="0"/>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422185"/>
    <w:pPr>
      <w:keepNext/>
      <w:keepLines/>
      <w:numPr>
        <w:ilvl w:val="5"/>
        <w:numId w:val="1"/>
      </w:numPr>
      <w:spacing w:before="40" w:after="0"/>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422185"/>
    <w:pPr>
      <w:keepNext/>
      <w:keepLines/>
      <w:numPr>
        <w:ilvl w:val="6"/>
        <w:numId w:val="1"/>
      </w:numPr>
      <w:spacing w:before="40" w:after="0"/>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4221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4221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5A01D5"/>
    <w:pPr>
      <w:spacing w:after="0" w:line="260" w:lineRule="atLeast"/>
    </w:pPr>
    <w:rPr>
      <w:sz w:val="20"/>
      <w:lang w:val="en-GB"/>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5A01D5"/>
    <w:rPr>
      <w:sz w:val="20"/>
      <w:lang w:val="en-GB"/>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styleId="FootnoteText">
    <w:name w:val="footnote text"/>
    <w:basedOn w:val="Normal"/>
    <w:link w:val="FootnoteTextChar"/>
    <w:uiPriority w:val="99"/>
    <w:rsid w:val="00422185"/>
    <w:pPr>
      <w:spacing w:after="0" w:line="240" w:lineRule="auto"/>
    </w:pPr>
    <w:rPr>
      <w:rFonts w:eastAsia="Times New Roman" w:cs="Times New Roman"/>
      <w:sz w:val="20"/>
      <w:szCs w:val="20"/>
      <w:lang w:eastAsia="es-ES"/>
    </w:rPr>
  </w:style>
  <w:style w:type="character" w:customStyle="1" w:styleId="FootnoteTextChar">
    <w:name w:val="Footnote Text Char"/>
    <w:basedOn w:val="DefaultParagraphFont"/>
    <w:link w:val="FootnoteText"/>
    <w:uiPriority w:val="99"/>
    <w:rsid w:val="00422185"/>
    <w:rPr>
      <w:rFonts w:eastAsia="Times New Roman" w:cs="Times New Roman"/>
      <w:sz w:val="20"/>
      <w:szCs w:val="20"/>
      <w:lang w:val="en-GB" w:eastAsia="es-ES"/>
    </w:rPr>
  </w:style>
  <w:style w:type="character" w:styleId="FootnoteReference">
    <w:name w:val="footnote reference"/>
    <w:basedOn w:val="DefaultParagraphFont"/>
    <w:uiPriority w:val="99"/>
    <w:rsid w:val="00422185"/>
    <w:rPr>
      <w:vertAlign w:val="superscript"/>
    </w:rPr>
  </w:style>
  <w:style w:type="character" w:customStyle="1" w:styleId="Heading1Char">
    <w:name w:val="Heading 1 Char"/>
    <w:basedOn w:val="DefaultParagraphFont"/>
    <w:link w:val="Heading1"/>
    <w:uiPriority w:val="9"/>
    <w:rsid w:val="00422185"/>
    <w:rPr>
      <w:rFonts w:eastAsiaTheme="majorEastAsia" w:cstheme="majorBidi"/>
      <w:b/>
      <w:color w:val="001932" w:themeColor="accent1" w:themeShade="BF"/>
      <w:sz w:val="28"/>
      <w:szCs w:val="32"/>
      <w:lang w:val="fr-BE"/>
    </w:rPr>
  </w:style>
  <w:style w:type="character" w:customStyle="1" w:styleId="Heading2Char">
    <w:name w:val="Heading 2 Char"/>
    <w:basedOn w:val="DefaultParagraphFont"/>
    <w:link w:val="Heading2"/>
    <w:uiPriority w:val="9"/>
    <w:rsid w:val="00422185"/>
    <w:rPr>
      <w:rFonts w:ascii="Calibri Light" w:eastAsiaTheme="majorEastAsia" w:hAnsi="Calibri Light" w:cstheme="majorBidi"/>
      <w:b/>
      <w:color w:val="001932" w:themeColor="accent1" w:themeShade="BF"/>
      <w:sz w:val="24"/>
      <w:szCs w:val="26"/>
      <w:lang w:val="fr-BE"/>
    </w:rPr>
  </w:style>
  <w:style w:type="character" w:customStyle="1" w:styleId="Heading3Char">
    <w:name w:val="Heading 3 Char"/>
    <w:basedOn w:val="DefaultParagraphFont"/>
    <w:link w:val="Heading3"/>
    <w:uiPriority w:val="9"/>
    <w:rsid w:val="00422185"/>
    <w:rPr>
      <w:rFonts w:ascii="Calibri" w:eastAsiaTheme="majorEastAsia" w:hAnsi="Calibri" w:cstheme="majorBidi"/>
      <w:color w:val="001021" w:themeColor="accent1" w:themeShade="7F"/>
      <w:sz w:val="24"/>
      <w:szCs w:val="24"/>
      <w:lang w:val="en-US"/>
    </w:rPr>
  </w:style>
  <w:style w:type="character" w:customStyle="1" w:styleId="Heading4Char">
    <w:name w:val="Heading 4 Char"/>
    <w:basedOn w:val="DefaultParagraphFont"/>
    <w:link w:val="Heading4"/>
    <w:uiPriority w:val="9"/>
    <w:semiHidden/>
    <w:rsid w:val="00422185"/>
    <w:rPr>
      <w:rFonts w:asciiTheme="majorHAnsi" w:eastAsiaTheme="majorEastAsia" w:hAnsiTheme="majorHAnsi" w:cstheme="majorBidi"/>
      <w:i/>
      <w:iCs/>
      <w:color w:val="001932" w:themeColor="accent1" w:themeShade="BF"/>
      <w:lang w:val="fr-BE"/>
    </w:rPr>
  </w:style>
  <w:style w:type="character" w:customStyle="1" w:styleId="Heading5Char">
    <w:name w:val="Heading 5 Char"/>
    <w:basedOn w:val="DefaultParagraphFont"/>
    <w:link w:val="Heading5"/>
    <w:uiPriority w:val="9"/>
    <w:semiHidden/>
    <w:rsid w:val="00422185"/>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422185"/>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422185"/>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422185"/>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422185"/>
    <w:rPr>
      <w:rFonts w:asciiTheme="majorHAnsi" w:eastAsiaTheme="majorEastAsia" w:hAnsiTheme="majorHAnsi" w:cstheme="majorBidi"/>
      <w:i/>
      <w:iCs/>
      <w:color w:val="272727" w:themeColor="text1" w:themeTint="D8"/>
      <w:sz w:val="21"/>
      <w:szCs w:val="21"/>
      <w:lang w:val="fr-BE"/>
    </w:rPr>
  </w:style>
  <w:style w:type="character" w:styleId="FollowedHyperlink">
    <w:name w:val="FollowedHyperlink"/>
    <w:basedOn w:val="DefaultParagraphFont"/>
    <w:uiPriority w:val="99"/>
    <w:semiHidden/>
    <w:unhideWhenUsed/>
    <w:rsid w:val="005E01E1"/>
    <w:rPr>
      <w:color w:val="800080" w:themeColor="followedHyperlink"/>
      <w:u w:val="single"/>
    </w:rPr>
  </w:style>
  <w:style w:type="character" w:styleId="CommentReference">
    <w:name w:val="annotation reference"/>
    <w:basedOn w:val="DefaultParagraphFont"/>
    <w:uiPriority w:val="99"/>
    <w:semiHidden/>
    <w:unhideWhenUsed/>
    <w:rsid w:val="0031653A"/>
    <w:rPr>
      <w:sz w:val="16"/>
      <w:szCs w:val="16"/>
    </w:rPr>
  </w:style>
  <w:style w:type="paragraph" w:styleId="CommentText">
    <w:name w:val="annotation text"/>
    <w:basedOn w:val="Normal"/>
    <w:link w:val="CommentTextChar"/>
    <w:uiPriority w:val="99"/>
    <w:semiHidden/>
    <w:unhideWhenUsed/>
    <w:rsid w:val="0031653A"/>
    <w:pPr>
      <w:spacing w:line="240" w:lineRule="auto"/>
    </w:pPr>
    <w:rPr>
      <w:sz w:val="20"/>
      <w:szCs w:val="20"/>
    </w:rPr>
  </w:style>
  <w:style w:type="character" w:customStyle="1" w:styleId="CommentTextChar">
    <w:name w:val="Comment Text Char"/>
    <w:basedOn w:val="DefaultParagraphFont"/>
    <w:link w:val="CommentText"/>
    <w:uiPriority w:val="99"/>
    <w:semiHidden/>
    <w:rsid w:val="0031653A"/>
    <w:rPr>
      <w:sz w:val="20"/>
      <w:szCs w:val="20"/>
      <w:lang w:val="en-GB"/>
    </w:rPr>
  </w:style>
  <w:style w:type="paragraph" w:styleId="CommentSubject">
    <w:name w:val="annotation subject"/>
    <w:basedOn w:val="CommentText"/>
    <w:next w:val="CommentText"/>
    <w:link w:val="CommentSubjectChar"/>
    <w:uiPriority w:val="99"/>
    <w:semiHidden/>
    <w:unhideWhenUsed/>
    <w:rsid w:val="0031653A"/>
    <w:rPr>
      <w:b/>
      <w:bCs/>
    </w:rPr>
  </w:style>
  <w:style w:type="character" w:customStyle="1" w:styleId="CommentSubjectChar">
    <w:name w:val="Comment Subject Char"/>
    <w:basedOn w:val="CommentTextChar"/>
    <w:link w:val="CommentSubject"/>
    <w:uiPriority w:val="99"/>
    <w:semiHidden/>
    <w:rsid w:val="0031653A"/>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796">
      <w:bodyDiv w:val="1"/>
      <w:marLeft w:val="0"/>
      <w:marRight w:val="0"/>
      <w:marTop w:val="0"/>
      <w:marBottom w:val="0"/>
      <w:divBdr>
        <w:top w:val="none" w:sz="0" w:space="0" w:color="auto"/>
        <w:left w:val="none" w:sz="0" w:space="0" w:color="auto"/>
        <w:bottom w:val="none" w:sz="0" w:space="0" w:color="auto"/>
        <w:right w:val="none" w:sz="0" w:space="0" w:color="auto"/>
      </w:divBdr>
    </w:div>
    <w:div w:id="107678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ma.be/en/faq/fsma-data-protection-policy"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annex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03460C52CC4FC79668FA354FDE6FB7"/>
        <w:category>
          <w:name w:val="General"/>
          <w:gallery w:val="placeholder"/>
        </w:category>
        <w:types>
          <w:type w:val="bbPlcHdr"/>
        </w:types>
        <w:behaviors>
          <w:behavior w:val="content"/>
        </w:behaviors>
        <w:guid w:val="{7622AE0C-BD01-4B50-B939-1F3B28ABB7B5}"/>
      </w:docPartPr>
      <w:docPartBody>
        <w:p w:rsidR="006A4E39" w:rsidRDefault="006A4E39">
          <w:pPr>
            <w:pStyle w:val="6503460C52CC4FC79668FA354FDE6FB7"/>
          </w:pPr>
          <w:r w:rsidRPr="005A01D5">
            <w:rPr>
              <w:rStyle w:val="PlaceholderText"/>
              <w:rFonts w:ascii="Arial" w:hAnsi="Arial" w:cs="Arial"/>
              <w:szCs w:val="20"/>
            </w:rPr>
            <w:t>Click here to enter the reference.</w:t>
          </w:r>
        </w:p>
      </w:docPartBody>
    </w:docPart>
    <w:docPart>
      <w:docPartPr>
        <w:name w:val="91108F8E8C184BC6B8E383DDF3DBA877"/>
        <w:category>
          <w:name w:val="General"/>
          <w:gallery w:val="placeholder"/>
        </w:category>
        <w:types>
          <w:type w:val="bbPlcHdr"/>
        </w:types>
        <w:behaviors>
          <w:behavior w:val="content"/>
        </w:behaviors>
        <w:guid w:val="{0A169AEA-450E-4F4D-BD48-A0742EB6438C}"/>
      </w:docPartPr>
      <w:docPartBody>
        <w:p w:rsidR="006A4E39" w:rsidRDefault="006A4E39">
          <w:pPr>
            <w:pStyle w:val="91108F8E8C184BC6B8E383DDF3DBA877"/>
          </w:pPr>
          <w:r w:rsidRPr="0043614D">
            <w:rPr>
              <w:rStyle w:val="PlaceholderText"/>
            </w:rPr>
            <w:t>Click here to enter a date.</w:t>
          </w:r>
        </w:p>
      </w:docPartBody>
    </w:docPart>
    <w:docPart>
      <w:docPartPr>
        <w:name w:val="0DD65153A3244625A4DC5072225F678C"/>
        <w:category>
          <w:name w:val="General"/>
          <w:gallery w:val="placeholder"/>
        </w:category>
        <w:types>
          <w:type w:val="bbPlcHdr"/>
        </w:types>
        <w:behaviors>
          <w:behavior w:val="content"/>
        </w:behaviors>
        <w:guid w:val="{0EC6C310-C669-467A-A8AA-18111306E14C}"/>
      </w:docPartPr>
      <w:docPartBody>
        <w:p w:rsidR="006A4E39" w:rsidRDefault="006A4E39">
          <w:pPr>
            <w:pStyle w:val="0DD65153A3244625A4DC5072225F678C"/>
          </w:pPr>
          <w:r w:rsidRPr="005A01D5">
            <w:rPr>
              <w:rStyle w:val="PlaceholderText"/>
              <w:rFonts w:ascii="Gotham Rounded Bold" w:hAnsi="Gotham Rounded Bold" w:cs="Arial"/>
              <w:sz w:val="32"/>
              <w:szCs w:val="32"/>
            </w:rPr>
            <w:t>Click here to enter the title.</w:t>
          </w:r>
        </w:p>
      </w:docPartBody>
    </w:docPart>
    <w:docPart>
      <w:docPartPr>
        <w:name w:val="EC3A65362784487EA3E24FAE7C91556A"/>
        <w:category>
          <w:name w:val="General"/>
          <w:gallery w:val="placeholder"/>
        </w:category>
        <w:types>
          <w:type w:val="bbPlcHdr"/>
        </w:types>
        <w:behaviors>
          <w:behavior w:val="content"/>
        </w:behaviors>
        <w:guid w:val="{F09468FB-9FAC-4DEF-8D04-CA59EACACB37}"/>
      </w:docPartPr>
      <w:docPartBody>
        <w:p w:rsidR="006A4E39" w:rsidRDefault="006A4E39">
          <w:pPr>
            <w:pStyle w:val="EC3A65362784487EA3E24FAE7C91556A"/>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otham Rounded Book">
    <w:panose1 w:val="00000000000000000000"/>
    <w:charset w:val="00"/>
    <w:family w:val="modern"/>
    <w:notTrueType/>
    <w:pitch w:val="variable"/>
    <w:sig w:usb0="A00000FF" w:usb1="4000004A" w:usb2="00000000" w:usb3="00000000" w:csb0="0000000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E39"/>
    <w:rsid w:val="00040DE1"/>
    <w:rsid w:val="0014603A"/>
    <w:rsid w:val="006263EE"/>
    <w:rsid w:val="006A4E39"/>
    <w:rsid w:val="00717BEF"/>
    <w:rsid w:val="00CC101D"/>
    <w:rsid w:val="00E4171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603A"/>
    <w:rPr>
      <w:color w:val="808080"/>
    </w:rPr>
  </w:style>
  <w:style w:type="paragraph" w:customStyle="1" w:styleId="6503460C52CC4FC79668FA354FDE6FB7">
    <w:name w:val="6503460C52CC4FC79668FA354FDE6FB7"/>
  </w:style>
  <w:style w:type="paragraph" w:customStyle="1" w:styleId="91108F8E8C184BC6B8E383DDF3DBA877">
    <w:name w:val="91108F8E8C184BC6B8E383DDF3DBA877"/>
  </w:style>
  <w:style w:type="paragraph" w:customStyle="1" w:styleId="0DD65153A3244625A4DC5072225F678C">
    <w:name w:val="0DD65153A3244625A4DC5072225F678C"/>
  </w:style>
  <w:style w:type="paragraph" w:customStyle="1" w:styleId="C063C5A9E29F4A2197755BD295F20882">
    <w:name w:val="C063C5A9E29F4A2197755BD295F20882"/>
  </w:style>
  <w:style w:type="paragraph" w:customStyle="1" w:styleId="EC3A65362784487EA3E24FAE7C91556A">
    <w:name w:val="EC3A65362784487EA3E24FAE7C91556A"/>
  </w:style>
  <w:style w:type="paragraph" w:customStyle="1" w:styleId="191AD3FF64B24B8BAA54C91376DEBED8">
    <w:name w:val="191AD3FF64B24B8BAA54C91376DEBED8"/>
    <w:rsid w:val="001460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te xmlns="854b9b4e-8d45-4e9a-a8a2-99c1a1a9d89b">
      <Value>N/A</Value>
    </Statu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87C47-584F-47CE-8467-A4D32FF2EAB5}">
  <ds:schemaRefs>
    <ds:schemaRef ds:uri="http://schemas.microsoft.com/office/2006/metadata/properties"/>
    <ds:schemaRef ds:uri="http://schemas.microsoft.com/office/infopath/2007/PartnerControls"/>
    <ds:schemaRef ds:uri="854b9b4e-8d45-4e9a-a8a2-99c1a1a9d89b"/>
  </ds:schemaRefs>
</ds:datastoreItem>
</file>

<file path=customXml/itemProps2.xml><?xml version="1.0" encoding="utf-8"?>
<ds:datastoreItem xmlns:ds="http://schemas.openxmlformats.org/officeDocument/2006/customXml" ds:itemID="{FABA70C3-4386-4A3B-B0E1-6CE23E852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1FF472-6226-4D0D-9810-445C3393D0F7}">
  <ds:schemaRefs>
    <ds:schemaRef ds:uri="http://schemas.microsoft.com/sharepoint/v3/contenttype/forms"/>
  </ds:schemaRefs>
</ds:datastoreItem>
</file>

<file path=customXml/itemProps4.xml><?xml version="1.0" encoding="utf-8"?>
<ds:datastoreItem xmlns:ds="http://schemas.openxmlformats.org/officeDocument/2006/customXml" ds:itemID="{F1457C03-D9CD-40DC-B207-072920C74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Circulaire_annex_EN.dotx</Template>
  <TotalTime>0</TotalTime>
  <Pages>3</Pages>
  <Words>675</Words>
  <Characters>3716</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Provision or supply of investment services and/or activities in Belgium on a cross-border basis by foreign investment firms. Articles 12 and 14 of the Belgian Law of 25 October 2016</vt:lpstr>
      <vt:lpstr/>
    </vt:vector>
  </TitlesOfParts>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 or supply of investment services and/or activities in Belgium on a cross-border basis by foreign investment firms. Articles 12 and 14 of the Belgian Law of 25 October 2016</dc:title>
  <dc:subject>Annex Communication FSMA_2019_07_01</dc:subject>
  <dc:creator>Luytens</dc:creator>
  <cp:keywords/>
  <dc:description/>
  <cp:lastModifiedBy>Binon, Heidi</cp:lastModifiedBy>
  <cp:revision>4</cp:revision>
  <cp:lastPrinted>2019-03-20T14:57:00Z</cp:lastPrinted>
  <dcterms:created xsi:type="dcterms:W3CDTF">2019-02-25T10:21:00Z</dcterms:created>
  <dcterms:modified xsi:type="dcterms:W3CDTF">2019-03-20T14:57:00Z</dcterms:modified>
  <cp:category>to 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_AdHocReviewCycleID">
    <vt:i4>1260316767</vt:i4>
  </property>
  <property fmtid="{D5CDD505-2E9C-101B-9397-08002B2CF9AE}" pid="4" name="_NewReviewCycle">
    <vt:lpwstr/>
  </property>
  <property fmtid="{D5CDD505-2E9C-101B-9397-08002B2CF9AE}" pid="5" name="_EmailSubject">
    <vt:lpwstr>Communication art 12 et 14 et formulaires + communication Brexit</vt:lpwstr>
  </property>
  <property fmtid="{D5CDD505-2E9C-101B-9397-08002B2CF9AE}" pid="6" name="_AuthorEmail">
    <vt:lpwstr>Severine.Fratta@fsma.be</vt:lpwstr>
  </property>
  <property fmtid="{D5CDD505-2E9C-101B-9397-08002B2CF9AE}" pid="7" name="_AuthorEmailDisplayName">
    <vt:lpwstr>Fratta, Severine</vt:lpwstr>
  </property>
  <property fmtid="{D5CDD505-2E9C-101B-9397-08002B2CF9AE}" pid="8" name="_PreviousAdHocReviewCycleID">
    <vt:i4>194506062</vt:i4>
  </property>
  <property fmtid="{D5CDD505-2E9C-101B-9397-08002B2CF9AE}" pid="9" name="FSMAKeywords">
    <vt:lpwstr/>
  </property>
  <property fmtid="{D5CDD505-2E9C-101B-9397-08002B2CF9AE}" pid="10" name="FSMALanguage">
    <vt:lpwstr/>
  </property>
  <property fmtid="{D5CDD505-2E9C-101B-9397-08002B2CF9AE}" pid="11" name="Importance">
    <vt:lpwstr/>
  </property>
  <property fmtid="{D5CDD505-2E9C-101B-9397-08002B2CF9AE}" pid="12" name="TaxCatchAll">
    <vt:lpwstr>2;#Final|7d7850c6-150d-4cd3-9e58-5c4a2226475a</vt:lpwstr>
  </property>
  <property fmtid="{D5CDD505-2E9C-101B-9397-08002B2CF9AE}" pid="13" name="FSMADocumentStatus">
    <vt:lpwstr>2;#Final|7d7850c6-150d-4cd3-9e58-5c4a2226475a</vt:lpwstr>
  </property>
  <property fmtid="{D5CDD505-2E9C-101B-9397-08002B2CF9AE}" pid="14" name="Dossier">
    <vt:lpwstr/>
  </property>
  <property fmtid="{D5CDD505-2E9C-101B-9397-08002B2CF9AE}" pid="15" name="DossierFr">
    <vt:lpwstr/>
  </property>
  <property fmtid="{D5CDD505-2E9C-101B-9397-08002B2CF9AE}" pid="16" name="DossierOfficialNameFr">
    <vt:lpwstr/>
  </property>
  <property fmtid="{D5CDD505-2E9C-101B-9397-08002B2CF9AE}" pid="17" name="DossierOfficialName">
    <vt:lpwstr/>
  </property>
  <property fmtid="{D5CDD505-2E9C-101B-9397-08002B2CF9AE}" pid="18" name="DossierNl">
    <vt:lpwstr/>
  </property>
  <property fmtid="{D5CDD505-2E9C-101B-9397-08002B2CF9AE}" pid="19" name="DossierOfficialNameNl">
    <vt:lpwstr/>
  </property>
  <property fmtid="{D5CDD505-2E9C-101B-9397-08002B2CF9AE}" pid="20" name="_docset_NoMedatataSyncRequired">
    <vt:lpwstr>False</vt:lpwstr>
  </property>
  <property fmtid="{D5CDD505-2E9C-101B-9397-08002B2CF9AE}" pid="21" name="_ReviewingToolsShownOnce">
    <vt:lpwstr/>
  </property>
  <property fmtid="{D5CDD505-2E9C-101B-9397-08002B2CF9AE}" pid="22" name="Cir. KEY-WORDS">
    <vt:lpwstr/>
  </property>
</Properties>
</file>