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71B28" w:rsidRPr="005A01D5" w:rsidRDefault="00A653D8" w:rsidP="00171B28">
      <w:pPr>
        <w:pBdr>
          <w:bottom w:val="single" w:sz="2" w:space="1" w:color="auto"/>
        </w:pBdr>
        <w:tabs>
          <w:tab w:val="left" w:pos="3060"/>
        </w:tabs>
      </w:pPr>
      <w:r>
        <w:rPr>
          <w:noProof/>
          <w:lang w:val="fr-BE" w:eastAsia="fr-BE"/>
        </w:rPr>
        <mc:AlternateContent>
          <mc:Choice Requires="wps">
            <w:drawing>
              <wp:anchor distT="0" distB="0" distL="114300" distR="114300" simplePos="0" relativeHeight="251658240" behindDoc="0" locked="0" layoutInCell="1" allowOverlap="1" wp14:anchorId="0A424FB4" wp14:editId="0A424FB5">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690" w:rsidRPr="00F54DCB" w:rsidRDefault="006C0690"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7E31B097B2BC4601B81B3CA7F1F2A018"/>
                                </w:placeholder>
                                <w:dataBinding w:xpath="/ns1:coreProperties[1]/ns1:category[1]" w:storeItemID="{6C3C8BC8-F283-45AE-878A-BAB7291924A1}"/>
                                <w:dropDownList w:lastValue="Communication">
                                  <w:listItem w:value="Choose an item."/>
                                  <w:listItem w:displayText="Circular" w:value="Circular"/>
                                  <w:listItem w:displayText="Communication" w:value="Communication"/>
                                  <w:listItem w:displayText="Handbook" w:value="Handbook"/>
                                </w:dropDownList>
                              </w:sdtPr>
                              <w:sdtEndPr/>
                              <w:sdtContent>
                                <w:r>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24FB4"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6C0690" w:rsidRPr="00F54DCB" w:rsidRDefault="006C0690"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7E31B097B2BC4601B81B3CA7F1F2A018"/>
                          </w:placeholder>
                          <w:dataBinding w:xpath="/ns1:coreProperties[1]/ns1:category[1]" w:storeItemID="{6C3C8BC8-F283-45AE-878A-BAB7291924A1}"/>
                          <w:dropDownList w:lastValue="Communication">
                            <w:listItem w:value="Choose an item."/>
                            <w:listItem w:displayText="Circular" w:value="Circular"/>
                            <w:listItem w:displayText="Communication" w:value="Communication"/>
                            <w:listItem w:displayText="Handbook" w:value="Handbook"/>
                          </w:dropDownList>
                        </w:sdtPr>
                        <w:sdtEndPr/>
                        <w:sdtContent>
                          <w:r>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r w:rsidR="00031EA1">
        <w:tab/>
      </w:r>
    </w:p>
    <w:p w:rsidR="00031EA1" w:rsidRPr="005A01D5" w:rsidRDefault="00031EA1" w:rsidP="00031EA1">
      <w:pPr>
        <w:pBdr>
          <w:bottom w:val="single" w:sz="2" w:space="1" w:color="auto"/>
        </w:pBdr>
        <w:tabs>
          <w:tab w:val="left" w:pos="3060"/>
        </w:tabs>
      </w:pPr>
    </w:p>
    <w:p w:rsidR="009653AD" w:rsidRPr="005A01D5" w:rsidRDefault="00770354" w:rsidP="006C0690">
      <w:pPr>
        <w:jc w:val="center"/>
        <w:rPr>
          <w:b/>
        </w:rPr>
      </w:pPr>
      <w:sdt>
        <w:sdtPr>
          <w:rPr>
            <w:b/>
          </w:rPr>
          <w:alias w:val="Reference"/>
          <w:tag w:val="ccDocReference"/>
          <w:id w:val="22863940"/>
          <w:placeholder>
            <w:docPart w:val="4BA5DAAE1DCE404195FED1B953C7CB65"/>
          </w:placeholder>
          <w:dataBinding w:xpath="/ns1:coreProperties[1]/ns0:subject[1]" w:storeItemID="{6C3C8BC8-F283-45AE-878A-BAB7291924A1}"/>
          <w:text/>
        </w:sdtPr>
        <w:sdtEndPr/>
        <w:sdtContent>
          <w:r w:rsidR="003D6D76">
            <w:rPr>
              <w:b/>
            </w:rPr>
            <w:t>FSMA_2017_06</w:t>
          </w:r>
        </w:sdtContent>
      </w:sdt>
      <w:r w:rsidR="005868EA">
        <w:rPr>
          <w:b/>
        </w:rPr>
        <w:t>-02</w:t>
      </w:r>
      <w:r w:rsidR="003D6D76">
        <w:rPr>
          <w:b/>
        </w:rPr>
        <w:t xml:space="preserve"> </w:t>
      </w:r>
      <w:r w:rsidR="00871482" w:rsidRPr="005A01D5">
        <w:rPr>
          <w:b/>
        </w:rPr>
        <w:t>of</w:t>
      </w:r>
      <w:r w:rsidR="009653AD" w:rsidRPr="005A01D5">
        <w:rPr>
          <w:b/>
        </w:rPr>
        <w:t xml:space="preserve"> </w:t>
      </w:r>
      <w:sdt>
        <w:sdtPr>
          <w:rPr>
            <w:b/>
            <w:lang w:val="en-US"/>
          </w:rPr>
          <w:id w:val="7137523"/>
          <w:placeholder>
            <w:docPart w:val="46CC4652E0064AF28DC62E6E33876879"/>
          </w:placeholder>
          <w:date w:fullDate="2017-02-24T00:00:00Z">
            <w:dateFormat w:val="d/MM/yyyy"/>
            <w:lid w:val="nl-BE"/>
            <w:storeMappedDataAs w:val="dateTime"/>
            <w:calendar w:val="gregorian"/>
          </w:date>
        </w:sdtPr>
        <w:sdtEndPr/>
        <w:sdtContent>
          <w:r w:rsidR="003D6D76" w:rsidRPr="005868EA">
            <w:rPr>
              <w:b/>
              <w:lang w:val="en-US"/>
            </w:rPr>
            <w:t>24/02/2017</w:t>
          </w:r>
        </w:sdtContent>
      </w:sdt>
    </w:p>
    <w:p w:rsidR="006C79D9" w:rsidRPr="005A01D5" w:rsidRDefault="00171B28" w:rsidP="00171B28">
      <w:pPr>
        <w:spacing w:after="120" w:line="240" w:lineRule="auto"/>
        <w:jc w:val="center"/>
      </w:pPr>
      <w:r w:rsidRPr="00171B28">
        <w:rPr>
          <w:rFonts w:ascii="Gotham Rounded Bold" w:eastAsia="Times New Roman" w:hAnsi="Gotham Rounded Bold" w:cs="Times New Roman"/>
          <w:color w:val="668899"/>
          <w:sz w:val="32"/>
          <w:szCs w:val="32"/>
          <w:lang w:eastAsia="fr-BE"/>
        </w:rPr>
        <w:t>Alternative Investment Funds</w:t>
      </w:r>
      <w:r w:rsidRPr="00171B28">
        <w:rPr>
          <w:rFonts w:ascii="Gotham Rounded Bold" w:eastAsia="Times New Roman" w:hAnsi="Gotham Rounded Bold" w:cs="Times New Roman"/>
          <w:color w:val="668899"/>
          <w:sz w:val="32"/>
          <w:szCs w:val="32"/>
          <w:lang w:eastAsia="fr-BE"/>
        </w:rPr>
        <w:br/>
      </w:r>
      <w:r w:rsidRPr="00171B28">
        <w:rPr>
          <w:rFonts w:ascii="Gotham Rounded Bold" w:eastAsia="Times New Roman" w:hAnsi="Gotham Rounded Bold" w:cs="Times New Roman"/>
          <w:color w:val="668899"/>
          <w:sz w:val="24"/>
          <w:szCs w:val="32"/>
          <w:lang w:eastAsia="fr-BE"/>
        </w:rPr>
        <w:t>Notification of marketing of AIFs managed by non-EEA AIFMs</w:t>
      </w:r>
      <w:r w:rsidRPr="00171B28">
        <w:rPr>
          <w:rFonts w:ascii="Gotham Rounded Bold" w:eastAsia="Times New Roman" w:hAnsi="Gotham Rounded Bold" w:cs="Times New Roman"/>
          <w:color w:val="668899"/>
          <w:sz w:val="24"/>
          <w:szCs w:val="32"/>
          <w:lang w:eastAsia="fr-BE"/>
        </w:rPr>
        <w:br/>
        <w:t>to professional investors in Belgium</w:t>
      </w:r>
      <w:r>
        <w:rPr>
          <w:rFonts w:ascii="Gotham Rounded Bold" w:eastAsia="Times New Roman" w:hAnsi="Gotham Rounded Bold" w:cs="Times New Roman"/>
          <w:color w:val="668899"/>
          <w:sz w:val="24"/>
          <w:szCs w:val="32"/>
          <w:lang w:eastAsia="fr-BE"/>
        </w:rPr>
        <w:br/>
      </w:r>
      <w:r w:rsidRPr="00171B28">
        <w:rPr>
          <w:rFonts w:ascii="Gotham Rounded Bold" w:eastAsia="Times New Roman" w:hAnsi="Gotham Rounded Bold" w:cs="Times New Roman"/>
          <w:color w:val="668899"/>
          <w:sz w:val="24"/>
          <w:szCs w:val="32"/>
          <w:lang w:eastAsia="fr-BE"/>
        </w:rPr>
        <w:t xml:space="preserve">Art. </w:t>
      </w:r>
      <w:proofErr w:type="gramStart"/>
      <w:r w:rsidRPr="00171B28">
        <w:rPr>
          <w:rFonts w:ascii="Gotham Rounded Bold" w:eastAsia="Times New Roman" w:hAnsi="Gotham Rounded Bold" w:cs="Times New Roman"/>
          <w:color w:val="668899"/>
          <w:sz w:val="24"/>
          <w:szCs w:val="32"/>
          <w:lang w:eastAsia="fr-BE"/>
        </w:rPr>
        <w:t>42</w:t>
      </w:r>
      <w:proofErr w:type="gramEnd"/>
      <w:r w:rsidRPr="00171B28">
        <w:rPr>
          <w:rFonts w:ascii="Gotham Rounded Bold" w:eastAsia="Times New Roman" w:hAnsi="Gotham Rounded Bold" w:cs="Times New Roman"/>
          <w:color w:val="668899"/>
          <w:sz w:val="24"/>
          <w:szCs w:val="32"/>
          <w:lang w:eastAsia="fr-BE"/>
        </w:rPr>
        <w:t xml:space="preserve"> AIFMD</w:t>
      </w:r>
      <w:r w:rsidRPr="00171B28">
        <w:rPr>
          <w:rFonts w:ascii="Gotham Rounded Bold" w:eastAsia="Times New Roman" w:hAnsi="Gotham Rounded Bold" w:cs="Times New Roman"/>
          <w:color w:val="668899"/>
          <w:sz w:val="24"/>
          <w:szCs w:val="32"/>
          <w:vertAlign w:val="superscript"/>
          <w:lang w:eastAsia="fr-BE"/>
        </w:rPr>
        <w:footnoteReference w:id="1"/>
      </w:r>
    </w:p>
    <w:p w:rsidR="00171B28" w:rsidRPr="00031EA1" w:rsidRDefault="00171B28" w:rsidP="00171B28">
      <w:pPr>
        <w:spacing w:after="120" w:line="240" w:lineRule="auto"/>
        <w:rPr>
          <w:rFonts w:ascii="Calibri" w:eastAsia="Times New Roman" w:hAnsi="Calibri" w:cs="Times New Roman"/>
          <w:lang w:val="en-US" w:eastAsia="fr-BE"/>
        </w:rPr>
      </w:pPr>
    </w:p>
    <w:p w:rsidR="00171B28" w:rsidRPr="005A01D5" w:rsidRDefault="00171B28" w:rsidP="00171B28">
      <w:pPr>
        <w:pStyle w:val="NoSpacing"/>
        <w:pBdr>
          <w:top w:val="single" w:sz="2" w:space="1" w:color="auto"/>
        </w:pBdr>
      </w:pPr>
    </w:p>
    <w:p w:rsidR="009653AD" w:rsidRPr="005A01D5" w:rsidRDefault="00871482" w:rsidP="008719CB">
      <w:pPr>
        <w:pStyle w:val="Subtitle"/>
      </w:pPr>
      <w:r w:rsidRPr="005A01D5">
        <w:t>Scope:</w:t>
      </w:r>
    </w:p>
    <w:sdt>
      <w:sdtPr>
        <w:alias w:val="Application Field"/>
        <w:tag w:val="ccDocAppField"/>
        <w:id w:val="413092537"/>
        <w:placeholder>
          <w:docPart w:val="68058C2CFC6449B38EB170B3EDAD4A67"/>
        </w:placeholder>
        <w:dataBinding w:xpath="/ns1:coreProperties[1]/ns1:keywords[1]" w:storeItemID="{6C3C8BC8-F283-45AE-878A-BAB7291924A1}"/>
        <w:text w:multiLine="1"/>
      </w:sdtPr>
      <w:sdtEndPr/>
      <w:sdtContent>
        <w:p w:rsidR="009653AD" w:rsidRPr="005A01D5" w:rsidRDefault="00EF702F" w:rsidP="00DA381C">
          <w:proofErr w:type="gramStart"/>
          <w:r>
            <w:t>This Communication is addressed to:</w:t>
          </w:r>
          <w:r w:rsidR="00DA381C">
            <w:br/>
          </w:r>
          <w:r>
            <w:t xml:space="preserve">- alternative investment fund managers established in the European Economic Area (‘EEA’) who intend to market, </w:t>
          </w:r>
          <w:r w:rsidR="00171B28">
            <w:br/>
            <w:t xml:space="preserve">  </w:t>
          </w:r>
          <w:r>
            <w:t xml:space="preserve">to professional investors in Belgium, units or shares of non-EEA AIFs which they manage, including non-EEA </w:t>
          </w:r>
          <w:r w:rsidR="00171B28">
            <w:br/>
            <w:t xml:space="preserve">  </w:t>
          </w:r>
          <w:r>
            <w:t>feeder AIFs; and to</w:t>
          </w:r>
          <w:r>
            <w:br/>
            <w:t xml:space="preserve">- alternative investment fund managers not established in the European Economic Area who intend to market, to </w:t>
          </w:r>
          <w:r w:rsidR="00171B28">
            <w:br/>
            <w:t xml:space="preserve">  </w:t>
          </w:r>
          <w:r>
            <w:t>professional investors in Belgium, units or shares in AIFs which they manage.</w:t>
          </w:r>
          <w:proofErr w:type="gramEnd"/>
        </w:p>
      </w:sdtContent>
    </w:sdt>
    <w:p w:rsidR="00E1313C" w:rsidRPr="005A01D5" w:rsidRDefault="00E1313C" w:rsidP="00E1313C">
      <w:pPr>
        <w:pStyle w:val="NoSpacing"/>
        <w:pBdr>
          <w:top w:val="single" w:sz="2" w:space="1" w:color="auto"/>
        </w:pBdr>
      </w:pPr>
    </w:p>
    <w:p w:rsidR="00580FAF" w:rsidRPr="00580FAF" w:rsidRDefault="00580FAF" w:rsidP="00F2413E">
      <w:pPr>
        <w:spacing w:before="120" w:after="0" w:line="240" w:lineRule="auto"/>
        <w:jc w:val="both"/>
        <w:rPr>
          <w:rFonts w:ascii="Calibri" w:eastAsia="Times New Roman" w:hAnsi="Calibri" w:cs="Arial"/>
          <w:szCs w:val="18"/>
          <w:lang w:eastAsia="fr-BE"/>
        </w:rPr>
      </w:pPr>
      <w:r w:rsidRPr="00580FAF">
        <w:rPr>
          <w:rFonts w:ascii="Calibri" w:eastAsia="Times New Roman" w:hAnsi="Calibri" w:cs="Arial"/>
          <w:szCs w:val="18"/>
          <w:lang w:eastAsia="fr-BE"/>
        </w:rPr>
        <w:t xml:space="preserve">This form </w:t>
      </w:r>
      <w:proofErr w:type="gramStart"/>
      <w:r w:rsidRPr="00580FAF">
        <w:rPr>
          <w:rFonts w:ascii="Calibri" w:eastAsia="Times New Roman" w:hAnsi="Calibri" w:cs="Arial"/>
          <w:szCs w:val="18"/>
          <w:lang w:eastAsia="fr-BE"/>
        </w:rPr>
        <w:t>should be filled out</w:t>
      </w:r>
      <w:proofErr w:type="gramEnd"/>
      <w:r w:rsidRPr="00580FAF">
        <w:rPr>
          <w:rFonts w:ascii="Calibri" w:eastAsia="Times New Roman" w:hAnsi="Calibri" w:cs="Arial"/>
          <w:szCs w:val="18"/>
          <w:lang w:eastAsia="fr-BE"/>
        </w:rPr>
        <w:t xml:space="preserve"> by non- European Economic Area (“non-EEA”) Alternative Investment Fund Managers (“AIFM”) wishing to market units or shares of Alternative Investment Funds (“AIF”) in Belgium. The information </w:t>
      </w:r>
      <w:proofErr w:type="gramStart"/>
      <w:r w:rsidRPr="00580FAF">
        <w:rPr>
          <w:rFonts w:ascii="Calibri" w:eastAsia="Times New Roman" w:hAnsi="Calibri" w:cs="Arial"/>
          <w:szCs w:val="18"/>
          <w:lang w:eastAsia="fr-BE"/>
        </w:rPr>
        <w:t>provided</w:t>
      </w:r>
      <w:proofErr w:type="gramEnd"/>
      <w:r w:rsidRPr="00580FAF">
        <w:rPr>
          <w:rFonts w:ascii="Calibri" w:eastAsia="Times New Roman" w:hAnsi="Calibri" w:cs="Arial"/>
          <w:szCs w:val="18"/>
          <w:lang w:eastAsia="fr-BE"/>
        </w:rPr>
        <w:t xml:space="preserve"> in this notification letter should not be ambiguous. The form </w:t>
      </w:r>
      <w:proofErr w:type="gramStart"/>
      <w:r w:rsidRPr="00580FAF">
        <w:rPr>
          <w:rFonts w:ascii="Calibri" w:eastAsia="Times New Roman" w:hAnsi="Calibri" w:cs="Arial"/>
          <w:szCs w:val="18"/>
          <w:lang w:eastAsia="fr-BE"/>
        </w:rPr>
        <w:t>should be sent</w:t>
      </w:r>
      <w:proofErr w:type="gramEnd"/>
      <w:r w:rsidRPr="00580FAF">
        <w:rPr>
          <w:rFonts w:ascii="Calibri" w:eastAsia="Times New Roman" w:hAnsi="Calibri" w:cs="Arial"/>
          <w:szCs w:val="18"/>
          <w:lang w:eastAsia="fr-BE"/>
        </w:rPr>
        <w:t xml:space="preserve"> to the following address: </w:t>
      </w:r>
      <w:r w:rsidR="00DA381C">
        <w:rPr>
          <w:rFonts w:ascii="Calibri" w:eastAsia="Times New Roman" w:hAnsi="Calibri" w:cs="Arial"/>
          <w:szCs w:val="18"/>
          <w:lang w:eastAsia="fr-BE"/>
        </w:rPr>
        <w:br/>
      </w:r>
      <w:hyperlink r:id="rId11" w:history="1">
        <w:r w:rsidRPr="00580FAF">
          <w:rPr>
            <w:rFonts w:ascii="Calibri" w:eastAsia="Times New Roman" w:hAnsi="Calibri" w:cs="Times New Roman"/>
            <w:color w:val="002244"/>
            <w:u w:val="single"/>
            <w:lang w:eastAsia="fr-BE"/>
          </w:rPr>
          <w:t>e-notification.passporting2@fsma.be</w:t>
        </w:r>
      </w:hyperlink>
    </w:p>
    <w:p w:rsidR="00580FAF" w:rsidRPr="00580FAF" w:rsidRDefault="00FA4D8E" w:rsidP="00F2413E">
      <w:pPr>
        <w:keepNext/>
        <w:keepLines/>
        <w:pBdr>
          <w:top w:val="single" w:sz="12" w:space="1" w:color="33444C"/>
          <w:bottom w:val="single" w:sz="12" w:space="0" w:color="33444C"/>
        </w:pBdr>
        <w:shd w:val="clear" w:color="auto" w:fill="E0E7EA"/>
        <w:spacing w:before="480" w:after="0" w:line="240" w:lineRule="auto"/>
        <w:ind w:left="431" w:hanging="431"/>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t xml:space="preserve">1. </w:t>
      </w:r>
      <w:r w:rsidR="00F2413E">
        <w:rPr>
          <w:rFonts w:ascii="Calibri" w:eastAsia="Times New Roman" w:hAnsi="Calibri" w:cs="Times New Roman"/>
          <w:b/>
          <w:bCs/>
          <w:color w:val="4C6572"/>
          <w:sz w:val="24"/>
          <w:szCs w:val="24"/>
          <w:lang w:eastAsia="fr-BE"/>
        </w:rPr>
        <w:tab/>
      </w:r>
      <w:r w:rsidR="00580FAF" w:rsidRPr="00580FAF">
        <w:rPr>
          <w:rFonts w:ascii="Calibri" w:eastAsia="Times New Roman" w:hAnsi="Calibri" w:cs="Times New Roman"/>
          <w:b/>
          <w:bCs/>
          <w:color w:val="4C6572"/>
          <w:sz w:val="24"/>
          <w:szCs w:val="24"/>
          <w:lang w:eastAsia="fr-BE"/>
        </w:rPr>
        <w:t>Type of notification</w:t>
      </w:r>
    </w:p>
    <w:p w:rsidR="00580FAF" w:rsidRPr="00580FAF" w:rsidRDefault="00770354" w:rsidP="00F2413E">
      <w:pPr>
        <w:spacing w:before="240" w:after="0" w:line="240" w:lineRule="auto"/>
        <w:ind w:left="425" w:hanging="425"/>
        <w:rPr>
          <w:rFonts w:ascii="Calibri" w:eastAsia="Times New Roman" w:hAnsi="Calibri" w:cs="Times New Roman"/>
          <w:lang w:eastAsia="fr-BE"/>
        </w:rPr>
      </w:pPr>
      <w:sdt>
        <w:sdtPr>
          <w:rPr>
            <w:rFonts w:ascii="Calibri" w:eastAsia="Times New Roman" w:hAnsi="Calibri" w:cs="Times New Roman"/>
            <w:lang w:eastAsia="fr-BE"/>
          </w:rPr>
          <w:id w:val="-222749099"/>
          <w14:checkbox>
            <w14:checked w14:val="0"/>
            <w14:checkedState w14:val="2612" w14:font="MS Gothic"/>
            <w14:uncheckedState w14:val="2610" w14:font="MS Gothic"/>
          </w14:checkbox>
        </w:sdtPr>
        <w:sdtEndPr/>
        <w:sdtContent>
          <w:r w:rsidR="00580FAF" w:rsidRPr="00580FAF">
            <w:rPr>
              <w:rFonts w:ascii="Segoe UI Symbol" w:eastAsia="Times New Roman" w:hAnsi="Segoe UI Symbol" w:cs="Segoe UI Symbol"/>
              <w:lang w:eastAsia="fr-BE"/>
            </w:rPr>
            <w:t>☐</w:t>
          </w:r>
        </w:sdtContent>
      </w:sdt>
      <w:r w:rsidR="00405155">
        <w:rPr>
          <w:rFonts w:ascii="Calibri" w:eastAsia="Times New Roman" w:hAnsi="Calibri" w:cs="Times New Roman"/>
          <w:lang w:eastAsia="fr-BE"/>
        </w:rPr>
        <w:t xml:space="preserve"> </w:t>
      </w:r>
      <w:r w:rsidR="00F2413E">
        <w:rPr>
          <w:rFonts w:ascii="Calibri" w:eastAsia="Times New Roman" w:hAnsi="Calibri" w:cs="Times New Roman"/>
          <w:lang w:eastAsia="fr-BE"/>
        </w:rPr>
        <w:tab/>
      </w:r>
      <w:r w:rsidR="00580FAF" w:rsidRPr="00580FAF">
        <w:rPr>
          <w:rFonts w:ascii="Calibri" w:eastAsia="Times New Roman" w:hAnsi="Calibri" w:cs="Times New Roman"/>
          <w:lang w:eastAsia="fr-BE"/>
        </w:rPr>
        <w:t>Initial notification</w:t>
      </w:r>
    </w:p>
    <w:p w:rsidR="00580FAF" w:rsidRPr="00580FAF" w:rsidRDefault="00770354" w:rsidP="00F2413E">
      <w:pPr>
        <w:spacing w:before="120" w:after="0" w:line="240" w:lineRule="auto"/>
        <w:ind w:left="426" w:hanging="426"/>
        <w:rPr>
          <w:rFonts w:ascii="Calibri" w:eastAsia="Times New Roman" w:hAnsi="Calibri" w:cs="Times New Roman"/>
          <w:lang w:eastAsia="fr-BE"/>
        </w:rPr>
      </w:pPr>
      <w:sdt>
        <w:sdtPr>
          <w:rPr>
            <w:rFonts w:ascii="Calibri" w:eastAsia="Times New Roman" w:hAnsi="Calibri" w:cs="Times New Roman"/>
            <w:lang w:eastAsia="fr-BE"/>
          </w:rPr>
          <w:id w:val="-572669780"/>
          <w14:checkbox>
            <w14:checked w14:val="0"/>
            <w14:checkedState w14:val="2612" w14:font="MS Gothic"/>
            <w14:uncheckedState w14:val="2610" w14:font="MS Gothic"/>
          </w14:checkbox>
        </w:sdtPr>
        <w:sdtEndPr/>
        <w:sdtContent>
          <w:r w:rsidR="00580FAF" w:rsidRPr="00580FAF">
            <w:rPr>
              <w:rFonts w:ascii="Segoe UI Symbol" w:eastAsia="Times New Roman" w:hAnsi="Segoe UI Symbol" w:cs="Segoe UI Symbol"/>
              <w:lang w:eastAsia="fr-BE"/>
            </w:rPr>
            <w:t>☐</w:t>
          </w:r>
        </w:sdtContent>
      </w:sdt>
      <w:r w:rsidR="00580FAF" w:rsidRPr="00580FAF">
        <w:rPr>
          <w:rFonts w:ascii="Calibri" w:eastAsia="Times New Roman" w:hAnsi="Calibri" w:cs="Times New Roman"/>
          <w:lang w:eastAsia="fr-BE"/>
        </w:rPr>
        <w:t xml:space="preserve"> </w:t>
      </w:r>
      <w:r w:rsidR="00F2413E">
        <w:rPr>
          <w:rFonts w:ascii="Calibri" w:eastAsia="Times New Roman" w:hAnsi="Calibri" w:cs="Times New Roman"/>
          <w:lang w:eastAsia="fr-BE"/>
        </w:rPr>
        <w:tab/>
      </w:r>
      <w:r w:rsidR="00580FAF" w:rsidRPr="00580FAF">
        <w:rPr>
          <w:rFonts w:ascii="Calibri" w:eastAsia="Times New Roman" w:hAnsi="Calibri" w:cs="Times New Roman"/>
          <w:lang w:eastAsia="fr-BE"/>
        </w:rPr>
        <w:t>Amendments to information already provided in an initial notification.</w:t>
      </w:r>
    </w:p>
    <w:p w:rsidR="00580FAF" w:rsidRPr="00580FAF" w:rsidRDefault="00FA4D8E" w:rsidP="00F2413E">
      <w:pPr>
        <w:keepNext/>
        <w:keepLines/>
        <w:pBdr>
          <w:top w:val="single" w:sz="12" w:space="1" w:color="33444C"/>
          <w:bottom w:val="single" w:sz="12" w:space="1" w:color="33444C"/>
        </w:pBdr>
        <w:shd w:val="clear" w:color="auto" w:fill="E0E7EA"/>
        <w:spacing w:before="480" w:after="240" w:line="240" w:lineRule="auto"/>
        <w:ind w:left="431" w:hanging="431"/>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t xml:space="preserve">2. </w:t>
      </w:r>
      <w:r w:rsidR="00F2413E">
        <w:rPr>
          <w:rFonts w:ascii="Calibri" w:eastAsia="Times New Roman" w:hAnsi="Calibri" w:cs="Times New Roman"/>
          <w:b/>
          <w:bCs/>
          <w:color w:val="4C6572"/>
          <w:sz w:val="24"/>
          <w:szCs w:val="24"/>
          <w:lang w:eastAsia="fr-BE"/>
        </w:rPr>
        <w:tab/>
      </w:r>
      <w:r w:rsidR="00580FAF" w:rsidRPr="00580FAF">
        <w:rPr>
          <w:rFonts w:ascii="Calibri" w:eastAsia="Times New Roman" w:hAnsi="Calibri" w:cs="Times New Roman"/>
          <w:b/>
          <w:bCs/>
          <w:color w:val="4C6572"/>
          <w:sz w:val="24"/>
          <w:szCs w:val="24"/>
          <w:lang w:eastAsia="fr-BE"/>
        </w:rPr>
        <w:t>AIFM</w:t>
      </w:r>
    </w:p>
    <w:tbl>
      <w:tblPr>
        <w:tblStyle w:val="TableGrid1"/>
        <w:tblW w:w="10201" w:type="dxa"/>
        <w:tblLook w:val="04A0" w:firstRow="1" w:lastRow="0" w:firstColumn="1" w:lastColumn="0" w:noHBand="0" w:noVBand="1"/>
      </w:tblPr>
      <w:tblGrid>
        <w:gridCol w:w="3020"/>
        <w:gridCol w:w="7181"/>
      </w:tblGrid>
      <w:tr w:rsidR="00580FAF" w:rsidRPr="00580FAF" w:rsidTr="00E46A46">
        <w:tc>
          <w:tcPr>
            <w:tcW w:w="3020" w:type="dxa"/>
          </w:tcPr>
          <w:p w:rsidR="00580FAF" w:rsidRPr="00580FAF" w:rsidRDefault="00580FAF" w:rsidP="00580FAF">
            <w:pPr>
              <w:spacing w:after="120" w:line="240" w:lineRule="auto"/>
              <w:rPr>
                <w:rFonts w:ascii="Calibri" w:hAnsi="Calibri" w:cs="Times New Roman"/>
                <w:lang w:eastAsia="fr-BE"/>
              </w:rPr>
            </w:pPr>
            <w:r w:rsidRPr="00580FAF">
              <w:rPr>
                <w:rFonts w:ascii="Calibri" w:hAnsi="Calibri" w:cs="Times New Roman"/>
                <w:lang w:eastAsia="fr-BE"/>
              </w:rPr>
              <w:t>Name and company number</w:t>
            </w:r>
          </w:p>
        </w:tc>
        <w:tc>
          <w:tcPr>
            <w:tcW w:w="7181" w:type="dxa"/>
          </w:tcPr>
          <w:p w:rsidR="00580FAF" w:rsidRPr="00580FAF" w:rsidRDefault="00580FAF" w:rsidP="00580FAF">
            <w:pPr>
              <w:spacing w:after="120" w:line="240" w:lineRule="auto"/>
              <w:rPr>
                <w:rFonts w:ascii="Calibri" w:hAnsi="Calibri" w:cs="Times New Roman"/>
                <w:lang w:eastAsia="fr-BE"/>
              </w:rPr>
            </w:pPr>
          </w:p>
        </w:tc>
      </w:tr>
      <w:tr w:rsidR="00580FAF" w:rsidRPr="00580FAF" w:rsidTr="00E46A46">
        <w:tc>
          <w:tcPr>
            <w:tcW w:w="3020" w:type="dxa"/>
          </w:tcPr>
          <w:p w:rsidR="00580FAF" w:rsidRPr="00580FAF" w:rsidRDefault="00580FAF" w:rsidP="00580FAF">
            <w:pPr>
              <w:spacing w:after="120" w:line="240" w:lineRule="auto"/>
              <w:rPr>
                <w:rFonts w:ascii="Calibri" w:hAnsi="Calibri" w:cs="Times New Roman"/>
                <w:lang w:eastAsia="fr-BE"/>
              </w:rPr>
            </w:pPr>
            <w:r w:rsidRPr="00580FAF">
              <w:rPr>
                <w:rFonts w:ascii="Calibri" w:hAnsi="Calibri" w:cs="Times New Roman"/>
                <w:lang w:eastAsia="fr-BE"/>
              </w:rPr>
              <w:t>Registered address</w:t>
            </w:r>
          </w:p>
        </w:tc>
        <w:tc>
          <w:tcPr>
            <w:tcW w:w="7181" w:type="dxa"/>
          </w:tcPr>
          <w:p w:rsidR="00580FAF" w:rsidRPr="00580FAF" w:rsidRDefault="00580FAF" w:rsidP="00580FAF">
            <w:pPr>
              <w:spacing w:after="120" w:line="240" w:lineRule="auto"/>
              <w:rPr>
                <w:rFonts w:ascii="Calibri" w:hAnsi="Calibri" w:cs="Times New Roman"/>
                <w:lang w:eastAsia="fr-BE"/>
              </w:rPr>
            </w:pPr>
          </w:p>
        </w:tc>
      </w:tr>
      <w:tr w:rsidR="00580FAF" w:rsidRPr="00580FAF" w:rsidTr="00E46A46">
        <w:tc>
          <w:tcPr>
            <w:tcW w:w="3020" w:type="dxa"/>
          </w:tcPr>
          <w:p w:rsidR="00580FAF" w:rsidRPr="00580FAF" w:rsidRDefault="00580FAF" w:rsidP="00580FAF">
            <w:pPr>
              <w:spacing w:after="120" w:line="240" w:lineRule="auto"/>
              <w:rPr>
                <w:rFonts w:ascii="Calibri" w:hAnsi="Calibri" w:cs="Times New Roman"/>
                <w:lang w:eastAsia="fr-BE"/>
              </w:rPr>
            </w:pPr>
            <w:r w:rsidRPr="00580FAF">
              <w:rPr>
                <w:rFonts w:ascii="Calibri" w:hAnsi="Calibri" w:cs="Times New Roman"/>
                <w:lang w:eastAsia="fr-BE"/>
              </w:rPr>
              <w:t xml:space="preserve">e-mail address </w:t>
            </w:r>
          </w:p>
        </w:tc>
        <w:tc>
          <w:tcPr>
            <w:tcW w:w="7181" w:type="dxa"/>
          </w:tcPr>
          <w:p w:rsidR="00580FAF" w:rsidRPr="00580FAF" w:rsidRDefault="00580FAF" w:rsidP="00580FAF">
            <w:pPr>
              <w:spacing w:after="120" w:line="240" w:lineRule="auto"/>
              <w:rPr>
                <w:rFonts w:ascii="Calibri" w:hAnsi="Calibri" w:cs="Times New Roman"/>
                <w:lang w:eastAsia="fr-BE"/>
              </w:rPr>
            </w:pPr>
          </w:p>
        </w:tc>
      </w:tr>
    </w:tbl>
    <w:p w:rsidR="00580FAF" w:rsidRPr="008623E4" w:rsidRDefault="00580FAF" w:rsidP="008623E4">
      <w:pPr>
        <w:rPr>
          <w:rFonts w:ascii="Calibri" w:eastAsia="Times New Roman" w:hAnsi="Calibri" w:cs="Times New Roman"/>
          <w:lang w:eastAsia="fr-BE"/>
        </w:rPr>
        <w:sectPr w:rsidR="00580FAF" w:rsidRPr="008623E4" w:rsidSect="00EA2441">
          <w:headerReference w:type="default" r:id="rId12"/>
          <w:footerReference w:type="default" r:id="rId13"/>
          <w:pgSz w:w="11906" w:h="16838"/>
          <w:pgMar w:top="851" w:right="851" w:bottom="567" w:left="851" w:header="708" w:footer="708" w:gutter="0"/>
          <w:cols w:space="708"/>
          <w:docGrid w:linePitch="360"/>
        </w:sectPr>
      </w:pPr>
    </w:p>
    <w:p w:rsidR="00580FAF" w:rsidRPr="009F3EF9" w:rsidRDefault="00FA4D8E" w:rsidP="00F2413E">
      <w:pPr>
        <w:keepNext/>
        <w:keepLines/>
        <w:pBdr>
          <w:top w:val="single" w:sz="12" w:space="1" w:color="33444C"/>
          <w:bottom w:val="single" w:sz="12" w:space="1" w:color="33444C"/>
        </w:pBdr>
        <w:shd w:val="clear" w:color="auto" w:fill="E0E7EA"/>
        <w:spacing w:before="480" w:after="360" w:line="240" w:lineRule="auto"/>
        <w:ind w:left="431" w:hanging="431"/>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lastRenderedPageBreak/>
        <w:t xml:space="preserve">3. </w:t>
      </w:r>
      <w:r w:rsidR="00F2413E">
        <w:rPr>
          <w:rFonts w:ascii="Calibri" w:eastAsia="Times New Roman" w:hAnsi="Calibri" w:cs="Times New Roman"/>
          <w:b/>
          <w:bCs/>
          <w:color w:val="4C6572"/>
          <w:sz w:val="24"/>
          <w:szCs w:val="24"/>
          <w:lang w:eastAsia="fr-BE"/>
        </w:rPr>
        <w:tab/>
      </w:r>
      <w:r w:rsidR="00580FAF" w:rsidRPr="00580FAF">
        <w:rPr>
          <w:rFonts w:ascii="Calibri" w:eastAsia="Times New Roman" w:hAnsi="Calibri" w:cs="Times New Roman"/>
          <w:b/>
          <w:bCs/>
          <w:color w:val="4C6572"/>
          <w:sz w:val="24"/>
          <w:szCs w:val="24"/>
          <w:lang w:eastAsia="fr-BE"/>
        </w:rPr>
        <w:t xml:space="preserve">AIFs to </w:t>
      </w:r>
      <w:proofErr w:type="gramStart"/>
      <w:r w:rsidR="00580FAF" w:rsidRPr="00580FAF">
        <w:rPr>
          <w:rFonts w:ascii="Calibri" w:eastAsia="Times New Roman" w:hAnsi="Calibri" w:cs="Times New Roman"/>
          <w:b/>
          <w:bCs/>
          <w:color w:val="4C6572"/>
          <w:sz w:val="24"/>
          <w:szCs w:val="24"/>
          <w:lang w:eastAsia="fr-BE"/>
        </w:rPr>
        <w:t>be marketed</w:t>
      </w:r>
      <w:proofErr w:type="gramEnd"/>
      <w:r w:rsidR="00580FAF" w:rsidRPr="00580FAF">
        <w:rPr>
          <w:rFonts w:ascii="Calibri" w:eastAsia="Times New Roman" w:hAnsi="Calibri" w:cs="Times New Roman"/>
          <w:b/>
          <w:bCs/>
          <w:color w:val="4C6572"/>
          <w:sz w:val="24"/>
          <w:szCs w:val="24"/>
          <w:lang w:eastAsia="fr-BE"/>
        </w:rPr>
        <w:t xml:space="preserve"> in Belgium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1667"/>
        <w:gridCol w:w="733"/>
        <w:gridCol w:w="1617"/>
        <w:gridCol w:w="1888"/>
        <w:gridCol w:w="1883"/>
        <w:gridCol w:w="1878"/>
        <w:gridCol w:w="1878"/>
      </w:tblGrid>
      <w:tr w:rsidR="00AB6764" w:rsidRPr="00580FAF" w:rsidTr="00AB6764">
        <w:tc>
          <w:tcPr>
            <w:tcW w:w="531" w:type="pct"/>
          </w:tcPr>
          <w:p w:rsidR="00AB6764" w:rsidRPr="00580FAF" w:rsidRDefault="00AB6764" w:rsidP="00580FAF">
            <w:pPr>
              <w:spacing w:after="120" w:line="240" w:lineRule="auto"/>
              <w:contextualSpacing/>
              <w:rPr>
                <w:rFonts w:ascii="Calibri" w:eastAsia="Times New Roman" w:hAnsi="Calibri" w:cs="Arial"/>
                <w:szCs w:val="18"/>
                <w:lang w:eastAsia="fr-BE"/>
              </w:rPr>
            </w:pPr>
            <w:r w:rsidRPr="00580FAF">
              <w:rPr>
                <w:rFonts w:ascii="Calibri" w:eastAsia="Times New Roman" w:hAnsi="Calibri" w:cs="Arial"/>
                <w:szCs w:val="18"/>
                <w:lang w:eastAsia="fr-BE"/>
              </w:rPr>
              <w:t>Name of the AIF</w:t>
            </w:r>
            <w:r>
              <w:rPr>
                <w:rFonts w:ascii="Calibri" w:eastAsia="Times New Roman" w:hAnsi="Calibri" w:cs="Arial"/>
                <w:szCs w:val="18"/>
                <w:lang w:eastAsia="fr-BE"/>
              </w:rPr>
              <w:t xml:space="preserve"> to be marketed</w:t>
            </w:r>
          </w:p>
        </w:tc>
        <w:tc>
          <w:tcPr>
            <w:tcW w:w="645" w:type="pct"/>
            <w:shd w:val="clear" w:color="auto" w:fill="auto"/>
          </w:tcPr>
          <w:p w:rsidR="00AB6764" w:rsidRPr="00580FAF" w:rsidRDefault="00AB6764" w:rsidP="009F3EF9">
            <w:pPr>
              <w:spacing w:after="120" w:line="240" w:lineRule="auto"/>
              <w:contextualSpacing/>
              <w:rPr>
                <w:rFonts w:ascii="Calibri" w:eastAsia="Times New Roman" w:hAnsi="Calibri" w:cs="Arial"/>
                <w:szCs w:val="18"/>
                <w:lang w:eastAsia="fr-BE"/>
              </w:rPr>
            </w:pPr>
            <w:r>
              <w:rPr>
                <w:rFonts w:ascii="Calibri" w:eastAsia="Times New Roman" w:hAnsi="Calibri" w:cs="Arial"/>
                <w:szCs w:val="18"/>
                <w:lang w:eastAsia="fr-BE"/>
              </w:rPr>
              <w:t xml:space="preserve">Name of the </w:t>
            </w:r>
            <w:r w:rsidRPr="00580FAF">
              <w:rPr>
                <w:rFonts w:ascii="Calibri" w:eastAsia="Times New Roman" w:hAnsi="Calibri" w:cs="Arial"/>
                <w:szCs w:val="18"/>
                <w:lang w:eastAsia="fr-BE"/>
              </w:rPr>
              <w:t>compartment(s) to be marketed</w:t>
            </w:r>
            <w:r w:rsidRPr="00580FAF">
              <w:rPr>
                <w:rFonts w:ascii="Calibri" w:eastAsia="Times New Roman" w:hAnsi="Calibri" w:cs="Arial"/>
                <w:sz w:val="18"/>
                <w:szCs w:val="18"/>
                <w:vertAlign w:val="superscript"/>
                <w:lang w:eastAsia="fr-BE"/>
              </w:rPr>
              <w:footnoteReference w:id="2"/>
            </w:r>
            <w:r>
              <w:rPr>
                <w:rFonts w:ascii="Calibri" w:eastAsia="Times New Roman" w:hAnsi="Calibri" w:cs="Arial"/>
                <w:szCs w:val="18"/>
                <w:lang w:eastAsia="fr-BE"/>
              </w:rPr>
              <w:t xml:space="preserve"> (if applicable)</w:t>
            </w:r>
          </w:p>
        </w:tc>
        <w:tc>
          <w:tcPr>
            <w:tcW w:w="284"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r w:rsidRPr="00580FAF">
              <w:rPr>
                <w:rFonts w:ascii="Calibri" w:eastAsia="Times New Roman" w:hAnsi="Calibri" w:cs="Arial"/>
                <w:szCs w:val="18"/>
                <w:lang w:eastAsia="fr-BE"/>
              </w:rPr>
              <w:t>AIF home State</w:t>
            </w:r>
          </w:p>
        </w:tc>
        <w:tc>
          <w:tcPr>
            <w:tcW w:w="626" w:type="pct"/>
            <w:shd w:val="clear" w:color="auto" w:fill="auto"/>
          </w:tcPr>
          <w:p w:rsidR="00AB6764" w:rsidRPr="00580FAF" w:rsidRDefault="00AB6764" w:rsidP="009F3EF9">
            <w:pPr>
              <w:spacing w:after="120" w:line="240" w:lineRule="auto"/>
              <w:contextualSpacing/>
              <w:rPr>
                <w:rFonts w:ascii="Calibri" w:eastAsia="Times New Roman" w:hAnsi="Calibri" w:cs="Arial"/>
                <w:szCs w:val="18"/>
                <w:lang w:eastAsia="fr-BE"/>
              </w:rPr>
            </w:pPr>
            <w:r>
              <w:rPr>
                <w:rFonts w:ascii="Calibri" w:eastAsia="Times New Roman" w:hAnsi="Calibri" w:cs="Arial"/>
                <w:szCs w:val="18"/>
                <w:lang w:eastAsia="fr-BE"/>
              </w:rPr>
              <w:t xml:space="preserve">AIF </w:t>
            </w:r>
            <w:r w:rsidRPr="00580FAF">
              <w:rPr>
                <w:rFonts w:ascii="Calibri" w:eastAsia="Times New Roman" w:hAnsi="Calibri" w:cs="Arial"/>
                <w:szCs w:val="18"/>
                <w:lang w:eastAsia="fr-BE"/>
              </w:rPr>
              <w:t>Legal form</w:t>
            </w:r>
            <w:r>
              <w:rPr>
                <w:rStyle w:val="FootnoteReference"/>
                <w:rFonts w:ascii="Calibri" w:eastAsia="Times New Roman" w:hAnsi="Calibri" w:cs="Arial"/>
                <w:szCs w:val="18"/>
                <w:lang w:eastAsia="fr-BE"/>
              </w:rPr>
              <w:footnoteReference w:id="3"/>
            </w:r>
            <w:r w:rsidRPr="00580FAF">
              <w:rPr>
                <w:rFonts w:ascii="Calibri" w:eastAsia="Times New Roman" w:hAnsi="Calibri" w:cs="Arial"/>
                <w:szCs w:val="18"/>
                <w:lang w:eastAsia="fr-BE"/>
              </w:rPr>
              <w:t xml:space="preserve"> </w:t>
            </w:r>
          </w:p>
        </w:tc>
        <w:tc>
          <w:tcPr>
            <w:tcW w:w="731"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r w:rsidRPr="00580FAF">
              <w:rPr>
                <w:rFonts w:ascii="Calibri" w:eastAsia="Times New Roman" w:hAnsi="Calibri" w:cs="Arial"/>
                <w:szCs w:val="18"/>
                <w:lang w:eastAsia="fr-BE"/>
              </w:rPr>
              <w:t xml:space="preserve">Name of </w:t>
            </w:r>
            <w:r>
              <w:rPr>
                <w:rFonts w:ascii="Calibri" w:eastAsia="Times New Roman" w:hAnsi="Calibri" w:cs="Arial"/>
                <w:szCs w:val="18"/>
                <w:lang w:eastAsia="fr-BE"/>
              </w:rPr>
              <w:t>the master AIF</w:t>
            </w:r>
            <w:r w:rsidRPr="00580FAF">
              <w:rPr>
                <w:rFonts w:ascii="Calibri" w:eastAsia="Times New Roman" w:hAnsi="Calibri" w:cs="Arial"/>
                <w:szCs w:val="18"/>
                <w:lang w:eastAsia="fr-BE"/>
              </w:rPr>
              <w:t xml:space="preserve"> (if applicable)</w:t>
            </w:r>
            <w:r>
              <w:rPr>
                <w:rStyle w:val="FootnoteReference"/>
                <w:rFonts w:ascii="Calibri" w:eastAsia="Times New Roman" w:hAnsi="Calibri" w:cs="Arial"/>
                <w:szCs w:val="18"/>
                <w:lang w:eastAsia="fr-BE"/>
              </w:rPr>
              <w:footnoteReference w:id="4"/>
            </w:r>
          </w:p>
        </w:tc>
        <w:tc>
          <w:tcPr>
            <w:tcW w:w="729" w:type="pct"/>
          </w:tcPr>
          <w:p w:rsidR="00AB6764" w:rsidRPr="00580FAF" w:rsidRDefault="00AB6764" w:rsidP="00EA6546">
            <w:pPr>
              <w:spacing w:after="120" w:line="240" w:lineRule="auto"/>
              <w:contextualSpacing/>
              <w:rPr>
                <w:rFonts w:ascii="Calibri" w:eastAsia="Times New Roman" w:hAnsi="Calibri" w:cs="Arial"/>
                <w:szCs w:val="18"/>
                <w:lang w:eastAsia="fr-BE"/>
              </w:rPr>
            </w:pPr>
            <w:r w:rsidRPr="008B049D">
              <w:rPr>
                <w:rFonts w:ascii="Calibri" w:eastAsia="Times New Roman" w:hAnsi="Calibri" w:cs="Arial"/>
                <w:szCs w:val="18"/>
                <w:lang w:eastAsia="fr-BE"/>
              </w:rPr>
              <w:t xml:space="preserve">Are the master AIF and the feeder AIF managed </w:t>
            </w:r>
            <w:r w:rsidR="00EA6546" w:rsidRPr="008B049D">
              <w:rPr>
                <w:rFonts w:ascii="Calibri" w:eastAsia="Times New Roman" w:hAnsi="Calibri" w:cs="Arial"/>
                <w:szCs w:val="18"/>
                <w:lang w:eastAsia="fr-BE"/>
              </w:rPr>
              <w:t>by</w:t>
            </w:r>
            <w:r w:rsidRPr="008B049D">
              <w:rPr>
                <w:rFonts w:ascii="Calibri" w:eastAsia="Times New Roman" w:hAnsi="Calibri" w:cs="Arial"/>
                <w:szCs w:val="18"/>
                <w:lang w:eastAsia="fr-BE"/>
              </w:rPr>
              <w:t xml:space="preserve"> the same manager?</w:t>
            </w:r>
            <w:r w:rsidR="00AC0A25" w:rsidRPr="008B049D">
              <w:rPr>
                <w:rFonts w:ascii="Calibri" w:eastAsia="Times New Roman" w:hAnsi="Calibri" w:cs="Arial"/>
                <w:szCs w:val="18"/>
                <w:vertAlign w:val="superscript"/>
                <w:lang w:eastAsia="fr-BE"/>
              </w:rPr>
              <w:t>4</w:t>
            </w:r>
            <w:r w:rsidRPr="008B049D">
              <w:rPr>
                <w:rFonts w:ascii="Calibri" w:eastAsia="Times New Roman" w:hAnsi="Calibri" w:cs="Arial"/>
                <w:szCs w:val="18"/>
                <w:lang w:eastAsia="fr-BE"/>
              </w:rPr>
              <w:t xml:space="preserve"> (Y/N)</w:t>
            </w:r>
          </w:p>
        </w:tc>
        <w:tc>
          <w:tcPr>
            <w:tcW w:w="727" w:type="pct"/>
            <w:shd w:val="clear" w:color="auto" w:fill="auto"/>
          </w:tcPr>
          <w:p w:rsidR="00AB6764" w:rsidRPr="00580FAF" w:rsidRDefault="00AB6764" w:rsidP="009F3EF9">
            <w:pPr>
              <w:spacing w:after="120" w:line="240" w:lineRule="auto"/>
              <w:contextualSpacing/>
              <w:rPr>
                <w:rFonts w:ascii="Calibri" w:eastAsia="Times New Roman" w:hAnsi="Calibri" w:cs="Arial"/>
                <w:szCs w:val="18"/>
                <w:lang w:eastAsia="fr-BE"/>
              </w:rPr>
            </w:pPr>
            <w:r w:rsidRPr="00580FAF">
              <w:rPr>
                <w:rFonts w:ascii="Calibri" w:eastAsia="Times New Roman" w:hAnsi="Calibri" w:cs="Arial"/>
                <w:szCs w:val="18"/>
                <w:lang w:eastAsia="fr-BE"/>
              </w:rPr>
              <w:t>Home State of the master AIF (if applicable)</w:t>
            </w:r>
            <w:r w:rsidRPr="009F3EF9">
              <w:rPr>
                <w:rFonts w:ascii="Calibri" w:eastAsia="Times New Roman" w:hAnsi="Calibri" w:cs="Arial"/>
                <w:szCs w:val="18"/>
                <w:vertAlign w:val="superscript"/>
                <w:lang w:eastAsia="fr-BE"/>
              </w:rPr>
              <w:t>4</w:t>
            </w:r>
          </w:p>
        </w:tc>
        <w:tc>
          <w:tcPr>
            <w:tcW w:w="727" w:type="pct"/>
          </w:tcPr>
          <w:p w:rsidR="00AB6764" w:rsidRPr="00580FAF" w:rsidRDefault="00AB6764" w:rsidP="009F3EF9">
            <w:pPr>
              <w:spacing w:after="120" w:line="240" w:lineRule="auto"/>
              <w:contextualSpacing/>
              <w:rPr>
                <w:rFonts w:ascii="Calibri" w:eastAsia="Times New Roman" w:hAnsi="Calibri" w:cs="Arial"/>
                <w:szCs w:val="18"/>
                <w:lang w:eastAsia="fr-BE"/>
              </w:rPr>
            </w:pPr>
            <w:r w:rsidRPr="008B049D">
              <w:rPr>
                <w:rFonts w:ascii="Calibri" w:eastAsia="Times New Roman" w:hAnsi="Calibri" w:cs="Arial"/>
                <w:szCs w:val="18"/>
                <w:lang w:eastAsia="fr-BE"/>
              </w:rPr>
              <w:t xml:space="preserve">Is the master AIF marketed in the </w:t>
            </w:r>
            <w:r w:rsidRPr="008B049D">
              <w:t>European Economic Area?</w:t>
            </w:r>
            <w:r w:rsidR="00AC0A25" w:rsidRPr="008B049D">
              <w:rPr>
                <w:vertAlign w:val="superscript"/>
              </w:rPr>
              <w:t>4</w:t>
            </w:r>
            <w:r w:rsidRPr="008B049D">
              <w:t xml:space="preserve"> (Y/N)</w:t>
            </w:r>
          </w:p>
        </w:tc>
      </w:tr>
      <w:tr w:rsidR="00AB6764" w:rsidRPr="00580FAF" w:rsidTr="00AB6764">
        <w:tc>
          <w:tcPr>
            <w:tcW w:w="531"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645"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284"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626"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31"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9"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r>
      <w:tr w:rsidR="00AB6764" w:rsidRPr="00580FAF" w:rsidTr="00AB6764">
        <w:tc>
          <w:tcPr>
            <w:tcW w:w="531"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645"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284"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626"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31"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9"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r>
      <w:tr w:rsidR="00AB6764" w:rsidRPr="00580FAF" w:rsidTr="00AB6764">
        <w:tc>
          <w:tcPr>
            <w:tcW w:w="531"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645"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284"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626"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31"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9"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r>
      <w:tr w:rsidR="00AB6764" w:rsidRPr="00580FAF" w:rsidTr="00AB6764">
        <w:tc>
          <w:tcPr>
            <w:tcW w:w="531" w:type="pct"/>
          </w:tcPr>
          <w:p w:rsidR="00AB6764" w:rsidRDefault="00AB6764" w:rsidP="00580FAF">
            <w:pPr>
              <w:spacing w:after="120" w:line="240" w:lineRule="auto"/>
              <w:contextualSpacing/>
              <w:rPr>
                <w:rFonts w:ascii="Calibri" w:eastAsia="Times New Roman" w:hAnsi="Calibri" w:cs="Arial"/>
                <w:szCs w:val="18"/>
                <w:lang w:eastAsia="fr-BE"/>
              </w:rPr>
            </w:pPr>
          </w:p>
        </w:tc>
        <w:tc>
          <w:tcPr>
            <w:tcW w:w="645"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284"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626"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31"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9"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r>
      <w:tr w:rsidR="00AB6764" w:rsidRPr="00580FAF" w:rsidTr="00AB6764">
        <w:tc>
          <w:tcPr>
            <w:tcW w:w="531" w:type="pct"/>
          </w:tcPr>
          <w:p w:rsidR="00AB6764" w:rsidRDefault="00AB6764" w:rsidP="00580FAF">
            <w:pPr>
              <w:spacing w:after="120" w:line="240" w:lineRule="auto"/>
              <w:contextualSpacing/>
              <w:rPr>
                <w:rFonts w:ascii="Calibri" w:eastAsia="Times New Roman" w:hAnsi="Calibri" w:cs="Arial"/>
                <w:szCs w:val="18"/>
                <w:lang w:eastAsia="fr-BE"/>
              </w:rPr>
            </w:pPr>
          </w:p>
        </w:tc>
        <w:tc>
          <w:tcPr>
            <w:tcW w:w="645"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284"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626"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31"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9"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shd w:val="clear" w:color="auto" w:fill="auto"/>
          </w:tcPr>
          <w:p w:rsidR="00AB6764" w:rsidRPr="00580FAF" w:rsidRDefault="00AB6764" w:rsidP="00580FAF">
            <w:pPr>
              <w:spacing w:after="120" w:line="240" w:lineRule="auto"/>
              <w:contextualSpacing/>
              <w:rPr>
                <w:rFonts w:ascii="Calibri" w:eastAsia="Times New Roman" w:hAnsi="Calibri" w:cs="Arial"/>
                <w:szCs w:val="18"/>
                <w:lang w:eastAsia="fr-BE"/>
              </w:rPr>
            </w:pPr>
          </w:p>
        </w:tc>
        <w:tc>
          <w:tcPr>
            <w:tcW w:w="727" w:type="pct"/>
          </w:tcPr>
          <w:p w:rsidR="00AB6764" w:rsidRPr="00580FAF" w:rsidRDefault="00AB6764" w:rsidP="00580FAF">
            <w:pPr>
              <w:spacing w:after="120" w:line="240" w:lineRule="auto"/>
              <w:contextualSpacing/>
              <w:rPr>
                <w:rFonts w:ascii="Calibri" w:eastAsia="Times New Roman" w:hAnsi="Calibri" w:cs="Arial"/>
                <w:szCs w:val="18"/>
                <w:lang w:eastAsia="fr-BE"/>
              </w:rPr>
            </w:pPr>
          </w:p>
        </w:tc>
      </w:tr>
    </w:tbl>
    <w:p w:rsidR="008623E4" w:rsidRDefault="008623E4">
      <w:pPr>
        <w:sectPr w:rsidR="008623E4" w:rsidSect="008623E4">
          <w:headerReference w:type="default" r:id="rId14"/>
          <w:footerReference w:type="default" r:id="rId15"/>
          <w:headerReference w:type="first" r:id="rId16"/>
          <w:footerReference w:type="first" r:id="rId17"/>
          <w:pgSz w:w="16838" w:h="11906" w:orient="landscape" w:code="9"/>
          <w:pgMar w:top="851" w:right="2495" w:bottom="991" w:left="1418" w:header="1531" w:footer="680" w:gutter="0"/>
          <w:cols w:space="708"/>
          <w:titlePg/>
          <w:docGrid w:linePitch="360"/>
        </w:sectPr>
      </w:pPr>
    </w:p>
    <w:p w:rsidR="00580FAF" w:rsidRPr="00580FAF" w:rsidRDefault="00FA4D8E" w:rsidP="006A2B06">
      <w:pPr>
        <w:keepNext/>
        <w:keepLines/>
        <w:pBdr>
          <w:top w:val="single" w:sz="12" w:space="1" w:color="33444C"/>
          <w:bottom w:val="single" w:sz="12" w:space="1" w:color="33444C"/>
        </w:pBdr>
        <w:shd w:val="clear" w:color="auto" w:fill="E0E7EA"/>
        <w:spacing w:before="480" w:after="0" w:line="240" w:lineRule="auto"/>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lastRenderedPageBreak/>
        <w:t xml:space="preserve">4. </w:t>
      </w:r>
      <w:r w:rsidR="006A2B06">
        <w:rPr>
          <w:rFonts w:ascii="Calibri" w:eastAsia="Times New Roman" w:hAnsi="Calibri" w:cs="Times New Roman"/>
          <w:b/>
          <w:bCs/>
          <w:color w:val="4C6572"/>
          <w:sz w:val="24"/>
          <w:szCs w:val="24"/>
          <w:lang w:eastAsia="fr-BE"/>
        </w:rPr>
        <w:t xml:space="preserve">   </w:t>
      </w:r>
      <w:r w:rsidR="00580FAF" w:rsidRPr="00580FAF">
        <w:rPr>
          <w:rFonts w:ascii="Calibri" w:eastAsia="Times New Roman" w:hAnsi="Calibri" w:cs="Times New Roman"/>
          <w:b/>
          <w:bCs/>
          <w:color w:val="4C6572"/>
          <w:sz w:val="24"/>
          <w:szCs w:val="24"/>
          <w:lang w:eastAsia="fr-BE"/>
        </w:rPr>
        <w:t>Private placement</w:t>
      </w:r>
    </w:p>
    <w:p w:rsidR="00580FAF" w:rsidRPr="00580FAF" w:rsidRDefault="00580FAF" w:rsidP="00E46A46">
      <w:pPr>
        <w:spacing w:before="240" w:after="0" w:line="240" w:lineRule="auto"/>
        <w:jc w:val="both"/>
        <w:rPr>
          <w:rFonts w:ascii="Calibri" w:eastAsia="Times New Roman" w:hAnsi="Calibri" w:cs="Times New Roman"/>
          <w:lang w:eastAsia="fr-BE"/>
        </w:rPr>
      </w:pPr>
      <w:r w:rsidRPr="00580FAF">
        <w:rPr>
          <w:rFonts w:ascii="Calibri" w:eastAsia="Times New Roman" w:hAnsi="Calibri" w:cs="Times New Roman"/>
          <w:lang w:eastAsia="fr-BE"/>
        </w:rPr>
        <w:t xml:space="preserve">The units or shares of the AIFs marketed in Belgium cannot constitute a public offer within the meaning of the Belgian AIFM Law. Please confirm </w:t>
      </w:r>
    </w:p>
    <w:p w:rsidR="00580FAF" w:rsidRPr="00580FAF" w:rsidRDefault="00580FAF" w:rsidP="00E46A46">
      <w:pPr>
        <w:numPr>
          <w:ilvl w:val="0"/>
          <w:numId w:val="1"/>
        </w:numPr>
        <w:spacing w:before="120" w:after="0" w:line="240" w:lineRule="auto"/>
        <w:ind w:left="426" w:hanging="426"/>
        <w:jc w:val="both"/>
        <w:rPr>
          <w:rFonts w:ascii="Calibri" w:eastAsia="Times New Roman" w:hAnsi="Calibri" w:cs="Times New Roman"/>
          <w:lang w:eastAsia="fr-BE"/>
        </w:rPr>
      </w:pPr>
      <w:r w:rsidRPr="00580FAF">
        <w:rPr>
          <w:rFonts w:ascii="Calibri" w:eastAsia="Times New Roman" w:hAnsi="Calibri" w:cs="Times New Roman"/>
          <w:lang w:eastAsia="fr-BE"/>
        </w:rPr>
        <w:t>which of the exception criteria in the table below apply/applies, resulting in the offer being considered as private;</w:t>
      </w:r>
    </w:p>
    <w:p w:rsidR="00580FAF" w:rsidRPr="00580FAF" w:rsidRDefault="00580FAF" w:rsidP="00E46A46">
      <w:pPr>
        <w:numPr>
          <w:ilvl w:val="0"/>
          <w:numId w:val="1"/>
        </w:numPr>
        <w:spacing w:before="120" w:after="240" w:line="240" w:lineRule="auto"/>
        <w:ind w:left="425" w:hanging="425"/>
        <w:jc w:val="both"/>
        <w:rPr>
          <w:rFonts w:ascii="Calibri" w:eastAsia="Times New Roman" w:hAnsi="Calibri" w:cs="Times New Roman"/>
          <w:lang w:eastAsia="fr-BE"/>
        </w:rPr>
      </w:pPr>
      <w:proofErr w:type="gramStart"/>
      <w:r w:rsidRPr="00580FAF">
        <w:rPr>
          <w:rFonts w:ascii="Calibri" w:eastAsia="Times New Roman" w:hAnsi="Calibri" w:cs="Times New Roman"/>
          <w:lang w:eastAsia="fr-BE"/>
        </w:rPr>
        <w:t>the</w:t>
      </w:r>
      <w:proofErr w:type="gramEnd"/>
      <w:r w:rsidRPr="00580FAF">
        <w:rPr>
          <w:rFonts w:ascii="Calibri" w:eastAsia="Times New Roman" w:hAnsi="Calibri" w:cs="Times New Roman"/>
          <w:lang w:eastAsia="fr-BE"/>
        </w:rPr>
        <w:t xml:space="preserve"> exact location (document and page) in the documentation attached to this form containing the information regarding such exception.</w:t>
      </w:r>
    </w:p>
    <w:tbl>
      <w:tblPr>
        <w:tblStyle w:val="TableGridLight1"/>
        <w:tblW w:w="0" w:type="auto"/>
        <w:tblLayout w:type="fixed"/>
        <w:tblLook w:val="0420" w:firstRow="1" w:lastRow="0" w:firstColumn="0" w:lastColumn="0" w:noHBand="0" w:noVBand="1"/>
      </w:tblPr>
      <w:tblGrid>
        <w:gridCol w:w="8359"/>
        <w:gridCol w:w="1695"/>
      </w:tblGrid>
      <w:tr w:rsidR="00580FAF" w:rsidRPr="00580FAF" w:rsidTr="008510C1">
        <w:tc>
          <w:tcPr>
            <w:tcW w:w="8359" w:type="dxa"/>
          </w:tcPr>
          <w:p w:rsidR="00580FAF" w:rsidRPr="00580FAF" w:rsidRDefault="008510C1" w:rsidP="00580FAF">
            <w:pPr>
              <w:tabs>
                <w:tab w:val="left" w:pos="2003"/>
              </w:tabs>
              <w:spacing w:after="120" w:line="240" w:lineRule="auto"/>
              <w:rPr>
                <w:rFonts w:ascii="Calibri" w:hAnsi="Calibri" w:cs="Times New Roman"/>
                <w:b/>
                <w:lang w:eastAsia="fr-BE"/>
              </w:rPr>
            </w:pPr>
            <w:r>
              <w:rPr>
                <w:rFonts w:ascii="Calibri" w:hAnsi="Calibri" w:cs="Times New Roman"/>
                <w:b/>
                <w:lang w:eastAsia="fr-BE"/>
              </w:rPr>
              <w:t>Exception criteria</w:t>
            </w:r>
          </w:p>
        </w:tc>
        <w:tc>
          <w:tcPr>
            <w:tcW w:w="1695" w:type="dxa"/>
          </w:tcPr>
          <w:p w:rsidR="00580FAF" w:rsidRPr="00580FAF" w:rsidRDefault="00580FAF" w:rsidP="008510C1">
            <w:pPr>
              <w:spacing w:after="120" w:line="240" w:lineRule="auto"/>
              <w:jc w:val="center"/>
              <w:rPr>
                <w:rFonts w:ascii="Calibri" w:hAnsi="Calibri" w:cs="Times New Roman"/>
                <w:b/>
                <w:lang w:eastAsia="fr-BE"/>
              </w:rPr>
            </w:pPr>
            <w:r w:rsidRPr="00580FAF">
              <w:rPr>
                <w:rFonts w:ascii="Calibri" w:hAnsi="Calibri" w:cs="Times New Roman"/>
                <w:b/>
                <w:lang w:eastAsia="fr-BE"/>
              </w:rPr>
              <w:t>Document</w:t>
            </w:r>
            <w:r w:rsidR="008510C1">
              <w:rPr>
                <w:rFonts w:ascii="Calibri" w:hAnsi="Calibri" w:cs="Times New Roman"/>
                <w:b/>
                <w:lang w:eastAsia="fr-BE"/>
              </w:rPr>
              <w:br/>
            </w:r>
            <w:r w:rsidRPr="00580FAF">
              <w:rPr>
                <w:rFonts w:ascii="Calibri" w:hAnsi="Calibri" w:cs="Times New Roman"/>
                <w:b/>
                <w:lang w:eastAsia="fr-BE"/>
              </w:rPr>
              <w:t xml:space="preserve"> and page</w:t>
            </w:r>
          </w:p>
        </w:tc>
      </w:tr>
      <w:tr w:rsidR="00580FAF" w:rsidRPr="00580FAF" w:rsidTr="008510C1">
        <w:tc>
          <w:tcPr>
            <w:tcW w:w="8359" w:type="dxa"/>
          </w:tcPr>
          <w:p w:rsidR="00580FAF" w:rsidRPr="00580FAF" w:rsidRDefault="00770354" w:rsidP="008510C1">
            <w:pPr>
              <w:spacing w:after="120" w:line="240" w:lineRule="auto"/>
              <w:ind w:left="425" w:hanging="425"/>
              <w:rPr>
                <w:rFonts w:ascii="Calibri" w:hAnsi="Calibri" w:cs="Times New Roman"/>
                <w:lang w:eastAsia="fr-BE"/>
              </w:rPr>
            </w:pPr>
            <w:sdt>
              <w:sdtPr>
                <w:rPr>
                  <w:rFonts w:ascii="Calibri" w:hAnsi="Calibri" w:cs="Times New Roman"/>
                  <w:lang w:eastAsia="fr-BE"/>
                </w:rPr>
                <w:id w:val="60916138"/>
                <w14:checkbox>
                  <w14:checked w14:val="0"/>
                  <w14:checkedState w14:val="2612" w14:font="MS Gothic"/>
                  <w14:uncheckedState w14:val="2610" w14:font="MS Gothic"/>
                </w14:checkbox>
              </w:sdtPr>
              <w:sdtEndPr/>
              <w:sdtContent>
                <w:r w:rsidR="00580FAF" w:rsidRPr="00580FAF">
                  <w:rPr>
                    <w:rFonts w:ascii="Segoe UI Symbol" w:hAnsi="Segoe UI Symbol" w:cs="Segoe UI Symbol"/>
                    <w:lang w:eastAsia="fr-BE"/>
                  </w:rPr>
                  <w:t>☐</w:t>
                </w:r>
              </w:sdtContent>
            </w:sdt>
            <w:r w:rsidR="00580FAF" w:rsidRPr="00580FAF">
              <w:rPr>
                <w:rFonts w:ascii="Calibri" w:hAnsi="Calibri" w:cs="Times New Roman"/>
                <w:lang w:eastAsia="fr-BE"/>
              </w:rPr>
              <w:t xml:space="preserve">  </w:t>
            </w:r>
            <w:r w:rsidR="008510C1">
              <w:rPr>
                <w:rFonts w:ascii="Calibri" w:hAnsi="Calibri" w:cs="Times New Roman"/>
                <w:lang w:eastAsia="fr-BE"/>
              </w:rPr>
              <w:tab/>
            </w:r>
            <w:r w:rsidR="00580FAF" w:rsidRPr="00580FAF">
              <w:rPr>
                <w:rFonts w:ascii="Calibri" w:hAnsi="Calibri" w:cs="Times New Roman"/>
                <w:lang w:val="en-US" w:eastAsia="fr-BE"/>
              </w:rPr>
              <w:t xml:space="preserve">offers of securities directed exclusively at </w:t>
            </w:r>
            <w:r w:rsidR="00580FAF" w:rsidRPr="00580FAF">
              <w:rPr>
                <w:rFonts w:ascii="Calibri" w:hAnsi="Calibri" w:cs="Times New Roman"/>
                <w:b/>
                <w:lang w:val="en-US" w:eastAsia="fr-BE"/>
              </w:rPr>
              <w:t>professional investors</w:t>
            </w:r>
            <w:r w:rsidR="00580FAF" w:rsidRPr="00580FAF">
              <w:rPr>
                <w:rFonts w:ascii="Calibri" w:hAnsi="Calibri" w:cs="Times New Roman"/>
                <w:b/>
                <w:lang w:eastAsia="fr-BE"/>
              </w:rPr>
              <w:t xml:space="preserve"> within the meaning of the Directive 2004/39/EC (MiFID)</w:t>
            </w:r>
          </w:p>
        </w:tc>
        <w:tc>
          <w:tcPr>
            <w:tcW w:w="1695" w:type="dxa"/>
          </w:tcPr>
          <w:p w:rsidR="00580FAF" w:rsidRPr="00580FAF" w:rsidRDefault="00580FAF" w:rsidP="00580FAF">
            <w:pPr>
              <w:spacing w:after="120" w:line="240" w:lineRule="auto"/>
              <w:rPr>
                <w:rFonts w:ascii="Calibri" w:hAnsi="Calibri" w:cs="Times New Roman"/>
                <w:sz w:val="20"/>
                <w:szCs w:val="20"/>
                <w:lang w:eastAsia="fr-BE"/>
              </w:rPr>
            </w:pPr>
          </w:p>
        </w:tc>
      </w:tr>
      <w:tr w:rsidR="00580FAF" w:rsidRPr="00B574CB" w:rsidTr="008510C1">
        <w:tc>
          <w:tcPr>
            <w:tcW w:w="8359" w:type="dxa"/>
          </w:tcPr>
          <w:p w:rsidR="00580FAF" w:rsidRDefault="00770354" w:rsidP="008510C1">
            <w:pPr>
              <w:spacing w:after="120" w:line="240" w:lineRule="auto"/>
              <w:ind w:left="425" w:hanging="425"/>
              <w:rPr>
                <w:rFonts w:ascii="Calibri" w:hAnsi="Calibri" w:cs="Times New Roman"/>
                <w:b/>
                <w:lang w:val="en-US" w:eastAsia="fr-BE"/>
              </w:rPr>
            </w:pPr>
            <w:sdt>
              <w:sdtPr>
                <w:rPr>
                  <w:rFonts w:ascii="Calibri" w:hAnsi="Calibri" w:cs="Times New Roman"/>
                  <w:lang w:eastAsia="fr-BE"/>
                </w:rPr>
                <w:id w:val="-1319881657"/>
                <w14:checkbox>
                  <w14:checked w14:val="0"/>
                  <w14:checkedState w14:val="2612" w14:font="MS Gothic"/>
                  <w14:uncheckedState w14:val="2610" w14:font="MS Gothic"/>
                </w14:checkbox>
              </w:sdtPr>
              <w:sdtEndPr/>
              <w:sdtContent>
                <w:r w:rsidR="00580FAF" w:rsidRPr="00580FAF">
                  <w:rPr>
                    <w:rFonts w:ascii="Segoe UI Symbol" w:hAnsi="Segoe UI Symbol" w:cs="Segoe UI Symbol"/>
                    <w:lang w:eastAsia="fr-BE"/>
                  </w:rPr>
                  <w:t>☐</w:t>
                </w:r>
              </w:sdtContent>
            </w:sdt>
            <w:r w:rsidR="00580FAF" w:rsidRPr="00580FAF">
              <w:rPr>
                <w:rFonts w:ascii="Calibri" w:hAnsi="Calibri" w:cs="Times New Roman"/>
                <w:lang w:eastAsia="fr-BE"/>
              </w:rPr>
              <w:t xml:space="preserve">  </w:t>
            </w:r>
            <w:r w:rsidR="008510C1">
              <w:rPr>
                <w:rFonts w:ascii="Calibri" w:hAnsi="Calibri" w:cs="Times New Roman"/>
                <w:lang w:eastAsia="fr-BE"/>
              </w:rPr>
              <w:tab/>
            </w:r>
            <w:r w:rsidR="00580FAF" w:rsidRPr="00580FAF">
              <w:rPr>
                <w:rFonts w:ascii="Calibri" w:hAnsi="Calibri" w:cs="Times New Roman"/>
                <w:lang w:val="en-US" w:eastAsia="fr-BE"/>
              </w:rPr>
              <w:t xml:space="preserve">offers of securities directed </w:t>
            </w:r>
            <w:r w:rsidR="00580FAF" w:rsidRPr="00580FAF">
              <w:rPr>
                <w:rFonts w:ascii="Calibri" w:hAnsi="Calibri" w:cs="Times New Roman"/>
                <w:b/>
                <w:lang w:val="en-US" w:eastAsia="fr-BE"/>
              </w:rPr>
              <w:t>at fewer than 150 natural or legal persons who are not professional investors</w:t>
            </w:r>
          </w:p>
          <w:p w:rsidR="00EF28C7" w:rsidRPr="007E11B5" w:rsidRDefault="00116E7B" w:rsidP="008510C1">
            <w:pPr>
              <w:spacing w:after="120"/>
              <w:ind w:left="425"/>
              <w:jc w:val="both"/>
              <w:rPr>
                <w:rFonts w:ascii="Calibri" w:hAnsi="Calibri" w:cs="Times New Roman"/>
                <w:lang w:val="en-US" w:eastAsia="fr-BE"/>
              </w:rPr>
            </w:pPr>
            <w:r w:rsidRPr="007E11B5">
              <w:rPr>
                <w:rFonts w:ascii="Calibri" w:hAnsi="Calibri" w:cs="Times New Roman"/>
                <w:lang w:val="en-US" w:eastAsia="fr-BE"/>
              </w:rPr>
              <w:t>In this cas</w:t>
            </w:r>
            <w:r w:rsidR="00B574CB">
              <w:rPr>
                <w:rFonts w:ascii="Calibri" w:hAnsi="Calibri" w:cs="Times New Roman"/>
                <w:lang w:val="en-US" w:eastAsia="fr-BE"/>
              </w:rPr>
              <w:t>e</w:t>
            </w:r>
            <w:r w:rsidR="00EF28C7" w:rsidRPr="007E11B5">
              <w:rPr>
                <w:rFonts w:ascii="Calibri" w:hAnsi="Calibri" w:cs="Times New Roman"/>
                <w:lang w:val="en-US" w:eastAsia="fr-BE"/>
              </w:rPr>
              <w:t>,</w:t>
            </w:r>
            <w:r w:rsidRPr="007E11B5">
              <w:rPr>
                <w:rFonts w:ascii="Calibri" w:hAnsi="Calibri" w:cs="Times New Roman"/>
                <w:lang w:val="en-US" w:eastAsia="fr-BE"/>
              </w:rPr>
              <w:t xml:space="preserve"> please specify the </w:t>
            </w:r>
            <w:r w:rsidR="00AF36F2">
              <w:rPr>
                <w:rFonts w:ascii="Calibri" w:hAnsi="Calibri" w:cs="Times New Roman"/>
                <w:lang w:val="en-US" w:eastAsia="fr-BE"/>
              </w:rPr>
              <w:t>measures taken</w:t>
            </w:r>
            <w:r w:rsidR="007E11B5">
              <w:rPr>
                <w:rFonts w:ascii="Calibri" w:hAnsi="Calibri" w:cs="Times New Roman"/>
                <w:lang w:val="en-US" w:eastAsia="fr-BE"/>
              </w:rPr>
              <w:t xml:space="preserve"> </w:t>
            </w:r>
            <w:r w:rsidR="00AF36F2">
              <w:rPr>
                <w:rFonts w:ascii="Calibri" w:hAnsi="Calibri" w:cs="Times New Roman"/>
                <w:lang w:val="en-US" w:eastAsia="fr-BE"/>
              </w:rPr>
              <w:t>by the manager to ensure that the</w:t>
            </w:r>
            <w:r w:rsidR="004423A2">
              <w:rPr>
                <w:rFonts w:ascii="Calibri" w:hAnsi="Calibri" w:cs="Times New Roman"/>
                <w:lang w:val="en-US" w:eastAsia="fr-BE"/>
              </w:rPr>
              <w:t xml:space="preserve"> </w:t>
            </w:r>
            <w:r w:rsidR="004423A2" w:rsidRPr="00580FAF">
              <w:rPr>
                <w:rFonts w:ascii="Calibri" w:hAnsi="Calibri" w:cs="Times New Roman"/>
                <w:lang w:eastAsia="fr-BE"/>
              </w:rPr>
              <w:t>units or shares of the AIFs</w:t>
            </w:r>
            <w:r w:rsidR="00AF36F2">
              <w:rPr>
                <w:rFonts w:ascii="Calibri" w:hAnsi="Calibri" w:cs="Times New Roman"/>
                <w:lang w:val="en-US" w:eastAsia="fr-BE"/>
              </w:rPr>
              <w:t xml:space="preserve"> </w:t>
            </w:r>
            <w:proofErr w:type="gramStart"/>
            <w:r w:rsidR="004423A2">
              <w:rPr>
                <w:rFonts w:ascii="Calibri" w:hAnsi="Calibri" w:cs="Times New Roman"/>
                <w:lang w:val="en-US" w:eastAsia="fr-BE"/>
              </w:rPr>
              <w:t>will not be marketed</w:t>
            </w:r>
            <w:proofErr w:type="gramEnd"/>
            <w:r w:rsidR="004423A2">
              <w:rPr>
                <w:rFonts w:ascii="Calibri" w:hAnsi="Calibri" w:cs="Times New Roman"/>
                <w:lang w:val="en-US" w:eastAsia="fr-BE"/>
              </w:rPr>
              <w:t xml:space="preserve"> </w:t>
            </w:r>
            <w:r w:rsidR="00B574CB" w:rsidRPr="007E11B5">
              <w:rPr>
                <w:rFonts w:ascii="Calibri" w:hAnsi="Calibri" w:cs="Times New Roman"/>
                <w:lang w:val="en-US" w:eastAsia="fr-BE"/>
              </w:rPr>
              <w:t>to more than 14</w:t>
            </w:r>
            <w:r w:rsidR="00B574CB" w:rsidRPr="00B574CB">
              <w:rPr>
                <w:rFonts w:ascii="Calibri" w:hAnsi="Calibri" w:cs="Times New Roman"/>
                <w:lang w:val="en-US" w:eastAsia="fr-BE"/>
              </w:rPr>
              <w:t>9</w:t>
            </w:r>
            <w:r w:rsidR="00405155">
              <w:rPr>
                <w:rFonts w:ascii="Calibri" w:hAnsi="Calibri" w:cs="Times New Roman"/>
                <w:lang w:val="en-US" w:eastAsia="fr-BE"/>
              </w:rPr>
              <w:t xml:space="preserve"> investors.</w:t>
            </w:r>
          </w:p>
        </w:tc>
        <w:tc>
          <w:tcPr>
            <w:tcW w:w="1695" w:type="dxa"/>
          </w:tcPr>
          <w:p w:rsidR="00580FAF" w:rsidRPr="007E11B5" w:rsidRDefault="00580FAF" w:rsidP="00580FAF">
            <w:pPr>
              <w:spacing w:after="120" w:line="240" w:lineRule="auto"/>
              <w:rPr>
                <w:rFonts w:ascii="Calibri" w:hAnsi="Calibri" w:cs="Times New Roman"/>
                <w:sz w:val="20"/>
                <w:szCs w:val="20"/>
                <w:lang w:val="en-US" w:eastAsia="fr-BE"/>
              </w:rPr>
            </w:pPr>
          </w:p>
        </w:tc>
      </w:tr>
      <w:tr w:rsidR="00580FAF" w:rsidRPr="00580FAF" w:rsidTr="008510C1">
        <w:tc>
          <w:tcPr>
            <w:tcW w:w="8359" w:type="dxa"/>
          </w:tcPr>
          <w:p w:rsidR="00580FAF" w:rsidRPr="00580FAF" w:rsidRDefault="00770354" w:rsidP="008510C1">
            <w:pPr>
              <w:spacing w:after="120" w:line="240" w:lineRule="auto"/>
              <w:ind w:left="425" w:hanging="425"/>
              <w:rPr>
                <w:rFonts w:ascii="Calibri" w:hAnsi="Calibri" w:cs="Times New Roman"/>
                <w:lang w:eastAsia="fr-BE"/>
              </w:rPr>
            </w:pPr>
            <w:sdt>
              <w:sdtPr>
                <w:rPr>
                  <w:rFonts w:ascii="Calibri" w:hAnsi="Calibri" w:cs="Times New Roman"/>
                  <w:lang w:eastAsia="fr-BE"/>
                </w:rPr>
                <w:id w:val="-746271061"/>
                <w14:checkbox>
                  <w14:checked w14:val="0"/>
                  <w14:checkedState w14:val="2612" w14:font="MS Gothic"/>
                  <w14:uncheckedState w14:val="2610" w14:font="MS Gothic"/>
                </w14:checkbox>
              </w:sdtPr>
              <w:sdtEndPr/>
              <w:sdtContent>
                <w:r w:rsidR="00580FAF" w:rsidRPr="00580FAF">
                  <w:rPr>
                    <w:rFonts w:ascii="Segoe UI Symbol" w:hAnsi="Segoe UI Symbol" w:cs="Segoe UI Symbol"/>
                    <w:lang w:eastAsia="fr-BE"/>
                  </w:rPr>
                  <w:t>☐</w:t>
                </w:r>
              </w:sdtContent>
            </w:sdt>
            <w:r w:rsidR="00580FAF" w:rsidRPr="00580FAF">
              <w:rPr>
                <w:rFonts w:ascii="Calibri" w:hAnsi="Calibri" w:cs="Times New Roman"/>
                <w:lang w:eastAsia="fr-BE"/>
              </w:rPr>
              <w:t xml:space="preserve">  </w:t>
            </w:r>
            <w:r w:rsidR="008510C1">
              <w:rPr>
                <w:rFonts w:ascii="Calibri" w:hAnsi="Calibri" w:cs="Times New Roman"/>
                <w:lang w:eastAsia="fr-BE"/>
              </w:rPr>
              <w:tab/>
            </w:r>
            <w:r w:rsidR="00580FAF" w:rsidRPr="00580FAF">
              <w:rPr>
                <w:rFonts w:ascii="Calibri" w:hAnsi="Calibri" w:cs="Times New Roman"/>
                <w:lang w:val="en-US" w:eastAsia="fr-BE"/>
              </w:rPr>
              <w:t xml:space="preserve">offers of securities, </w:t>
            </w:r>
            <w:r w:rsidR="00580FAF" w:rsidRPr="00580FAF">
              <w:rPr>
                <w:rFonts w:ascii="Calibri" w:hAnsi="Calibri" w:cs="Times New Roman"/>
                <w:b/>
                <w:lang w:val="en-US" w:eastAsia="fr-BE"/>
              </w:rPr>
              <w:t>other than units of open-ended undertakings for collective investment</w:t>
            </w:r>
            <w:r w:rsidR="00580FAF" w:rsidRPr="00580FAF">
              <w:rPr>
                <w:rFonts w:ascii="Calibri" w:hAnsi="Calibri" w:cs="Times New Roman"/>
                <w:lang w:val="en-US" w:eastAsia="fr-BE"/>
              </w:rPr>
              <w:t xml:space="preserve">, which require a total consideration of </w:t>
            </w:r>
            <w:r w:rsidR="00580FAF" w:rsidRPr="00580FAF">
              <w:rPr>
                <w:rFonts w:ascii="Calibri" w:hAnsi="Calibri" w:cs="Times New Roman"/>
                <w:b/>
                <w:lang w:val="en-US" w:eastAsia="fr-BE"/>
              </w:rPr>
              <w:t>at least EUR 100,000 per investor and per category of securities</w:t>
            </w:r>
          </w:p>
        </w:tc>
        <w:tc>
          <w:tcPr>
            <w:tcW w:w="1695" w:type="dxa"/>
          </w:tcPr>
          <w:p w:rsidR="00580FAF" w:rsidRPr="00580FAF" w:rsidRDefault="00580FAF" w:rsidP="00580FAF">
            <w:pPr>
              <w:spacing w:after="120" w:line="240" w:lineRule="auto"/>
              <w:rPr>
                <w:rFonts w:ascii="Calibri" w:hAnsi="Calibri" w:cs="Times New Roman"/>
                <w:sz w:val="20"/>
                <w:szCs w:val="20"/>
                <w:lang w:eastAsia="fr-BE"/>
              </w:rPr>
            </w:pPr>
          </w:p>
        </w:tc>
      </w:tr>
      <w:tr w:rsidR="00580FAF" w:rsidRPr="00580FAF" w:rsidTr="008510C1">
        <w:tc>
          <w:tcPr>
            <w:tcW w:w="8359" w:type="dxa"/>
          </w:tcPr>
          <w:p w:rsidR="00580FAF" w:rsidRPr="00580FAF" w:rsidRDefault="00770354" w:rsidP="008510C1">
            <w:pPr>
              <w:spacing w:after="120" w:line="240" w:lineRule="auto"/>
              <w:ind w:left="425" w:hanging="425"/>
              <w:rPr>
                <w:rFonts w:ascii="Calibri" w:hAnsi="Calibri" w:cs="Times New Roman"/>
                <w:lang w:eastAsia="fr-BE"/>
              </w:rPr>
            </w:pPr>
            <w:sdt>
              <w:sdtPr>
                <w:rPr>
                  <w:rFonts w:ascii="Calibri" w:hAnsi="Calibri" w:cs="Times New Roman"/>
                  <w:lang w:eastAsia="fr-BE"/>
                </w:rPr>
                <w:id w:val="2073382444"/>
                <w14:checkbox>
                  <w14:checked w14:val="0"/>
                  <w14:checkedState w14:val="2612" w14:font="MS Gothic"/>
                  <w14:uncheckedState w14:val="2610" w14:font="MS Gothic"/>
                </w14:checkbox>
              </w:sdtPr>
              <w:sdtEndPr/>
              <w:sdtContent>
                <w:r w:rsidR="00580FAF" w:rsidRPr="00580FAF">
                  <w:rPr>
                    <w:rFonts w:ascii="Segoe UI Symbol" w:hAnsi="Segoe UI Symbol" w:cs="Segoe UI Symbol"/>
                    <w:lang w:eastAsia="fr-BE"/>
                  </w:rPr>
                  <w:t>☐</w:t>
                </w:r>
              </w:sdtContent>
            </w:sdt>
            <w:r w:rsidR="00580FAF" w:rsidRPr="00580FAF">
              <w:rPr>
                <w:rFonts w:ascii="Calibri" w:hAnsi="Calibri" w:cs="Times New Roman"/>
                <w:lang w:eastAsia="fr-BE"/>
              </w:rPr>
              <w:t xml:space="preserve">  </w:t>
            </w:r>
            <w:r w:rsidR="008510C1">
              <w:rPr>
                <w:rFonts w:ascii="Calibri" w:hAnsi="Calibri" w:cs="Times New Roman"/>
                <w:lang w:eastAsia="fr-BE"/>
              </w:rPr>
              <w:tab/>
            </w:r>
            <w:r w:rsidR="00580FAF" w:rsidRPr="00580FAF">
              <w:rPr>
                <w:rFonts w:ascii="Calibri" w:hAnsi="Calibri" w:cs="Times New Roman"/>
                <w:lang w:val="en-US" w:eastAsia="fr-BE"/>
              </w:rPr>
              <w:t xml:space="preserve">offers of </w:t>
            </w:r>
            <w:r w:rsidR="00580FAF" w:rsidRPr="00580FAF">
              <w:rPr>
                <w:rFonts w:ascii="Calibri" w:hAnsi="Calibri" w:cs="Times New Roman"/>
                <w:b/>
                <w:lang w:val="en-US" w:eastAsia="fr-BE"/>
              </w:rPr>
              <w:t>units of open-ended undertakings for collective investment</w:t>
            </w:r>
            <w:r w:rsidR="00580FAF" w:rsidRPr="00580FAF">
              <w:rPr>
                <w:rFonts w:ascii="Calibri" w:hAnsi="Calibri" w:cs="Times New Roman"/>
                <w:lang w:val="en-US" w:eastAsia="fr-BE"/>
              </w:rPr>
              <w:t xml:space="preserve"> that require a total consideration of </w:t>
            </w:r>
            <w:r w:rsidR="00580FAF" w:rsidRPr="00580FAF">
              <w:rPr>
                <w:rFonts w:ascii="Calibri" w:hAnsi="Calibri" w:cs="Times New Roman"/>
                <w:b/>
                <w:lang w:val="en-US" w:eastAsia="fr-BE"/>
              </w:rPr>
              <w:t>at least EUR 250,000 per investor and per category of securities</w:t>
            </w:r>
            <w:r w:rsidR="00580FAF" w:rsidRPr="00580FAF">
              <w:rPr>
                <w:rFonts w:ascii="Calibri" w:hAnsi="Calibri" w:cs="Times New Roman"/>
                <w:lang w:eastAsia="fr-BE"/>
              </w:rPr>
              <w:t>;</w:t>
            </w:r>
          </w:p>
        </w:tc>
        <w:tc>
          <w:tcPr>
            <w:tcW w:w="1695" w:type="dxa"/>
          </w:tcPr>
          <w:p w:rsidR="00580FAF" w:rsidRPr="00580FAF" w:rsidRDefault="00580FAF" w:rsidP="00580FAF">
            <w:pPr>
              <w:spacing w:after="120" w:line="240" w:lineRule="auto"/>
              <w:rPr>
                <w:rFonts w:ascii="Calibri" w:hAnsi="Calibri" w:cs="Times New Roman"/>
                <w:sz w:val="20"/>
                <w:szCs w:val="20"/>
                <w:lang w:eastAsia="fr-BE"/>
              </w:rPr>
            </w:pPr>
          </w:p>
        </w:tc>
      </w:tr>
      <w:tr w:rsidR="00580FAF" w:rsidRPr="00580FAF" w:rsidTr="008510C1">
        <w:tc>
          <w:tcPr>
            <w:tcW w:w="8359" w:type="dxa"/>
          </w:tcPr>
          <w:p w:rsidR="00580FAF" w:rsidRPr="00580FAF" w:rsidRDefault="00770354" w:rsidP="008510C1">
            <w:pPr>
              <w:spacing w:after="120" w:line="240" w:lineRule="auto"/>
              <w:ind w:left="425" w:hanging="425"/>
              <w:rPr>
                <w:rFonts w:ascii="Calibri" w:hAnsi="Calibri" w:cs="Times New Roman"/>
                <w:lang w:eastAsia="fr-BE"/>
              </w:rPr>
            </w:pPr>
            <w:sdt>
              <w:sdtPr>
                <w:rPr>
                  <w:rFonts w:ascii="Calibri" w:hAnsi="Calibri" w:cs="Times New Roman"/>
                  <w:lang w:eastAsia="fr-BE"/>
                </w:rPr>
                <w:id w:val="-1732842561"/>
                <w14:checkbox>
                  <w14:checked w14:val="0"/>
                  <w14:checkedState w14:val="2612" w14:font="MS Gothic"/>
                  <w14:uncheckedState w14:val="2610" w14:font="MS Gothic"/>
                </w14:checkbox>
              </w:sdtPr>
              <w:sdtEndPr/>
              <w:sdtContent>
                <w:r w:rsidR="00580FAF" w:rsidRPr="00580FAF">
                  <w:rPr>
                    <w:rFonts w:ascii="Segoe UI Symbol" w:hAnsi="Segoe UI Symbol" w:cs="Segoe UI Symbol"/>
                    <w:lang w:eastAsia="fr-BE"/>
                  </w:rPr>
                  <w:t>☐</w:t>
                </w:r>
              </w:sdtContent>
            </w:sdt>
            <w:r w:rsidR="00405155">
              <w:rPr>
                <w:rFonts w:ascii="Calibri" w:hAnsi="Calibri" w:cs="Times New Roman"/>
                <w:lang w:eastAsia="fr-BE"/>
              </w:rPr>
              <w:t xml:space="preserve"> </w:t>
            </w:r>
            <w:r w:rsidR="008510C1">
              <w:rPr>
                <w:rFonts w:ascii="Calibri" w:hAnsi="Calibri" w:cs="Times New Roman"/>
                <w:lang w:eastAsia="fr-BE"/>
              </w:rPr>
              <w:tab/>
            </w:r>
            <w:r w:rsidR="00580FAF" w:rsidRPr="00580FAF">
              <w:rPr>
                <w:rFonts w:ascii="Calibri" w:hAnsi="Calibri" w:cs="Times New Roman"/>
                <w:lang w:val="en-US" w:eastAsia="fr-BE"/>
              </w:rPr>
              <w:t xml:space="preserve">offers of securities, </w:t>
            </w:r>
            <w:r w:rsidR="00580FAF" w:rsidRPr="00580FAF">
              <w:rPr>
                <w:rFonts w:ascii="Calibri" w:hAnsi="Calibri" w:cs="Times New Roman"/>
                <w:b/>
                <w:lang w:val="en-US" w:eastAsia="fr-BE"/>
              </w:rPr>
              <w:t>other than units of open-ended undertakings for collective investment</w:t>
            </w:r>
            <w:r w:rsidR="00580FAF" w:rsidRPr="00580FAF">
              <w:rPr>
                <w:rFonts w:ascii="Calibri" w:hAnsi="Calibri" w:cs="Times New Roman"/>
                <w:lang w:val="en-US" w:eastAsia="fr-BE"/>
              </w:rPr>
              <w:t xml:space="preserve">, </w:t>
            </w:r>
            <w:r w:rsidR="00580FAF" w:rsidRPr="00580FAF">
              <w:rPr>
                <w:rFonts w:ascii="Calibri" w:hAnsi="Calibri" w:cs="Times New Roman"/>
                <w:b/>
                <w:lang w:val="en-US" w:eastAsia="fr-BE"/>
              </w:rPr>
              <w:t>with a denomination per unit of at least EUR 100,000</w:t>
            </w:r>
            <w:r w:rsidR="00580FAF" w:rsidRPr="00580FAF">
              <w:rPr>
                <w:rFonts w:ascii="Calibri" w:hAnsi="Calibri" w:cs="Times New Roman"/>
                <w:lang w:eastAsia="fr-BE"/>
              </w:rPr>
              <w:t>;</w:t>
            </w:r>
          </w:p>
        </w:tc>
        <w:tc>
          <w:tcPr>
            <w:tcW w:w="1695" w:type="dxa"/>
          </w:tcPr>
          <w:p w:rsidR="00580FAF" w:rsidRPr="00580FAF" w:rsidRDefault="00580FAF" w:rsidP="00580FAF">
            <w:pPr>
              <w:spacing w:after="120" w:line="240" w:lineRule="auto"/>
              <w:rPr>
                <w:rFonts w:ascii="Calibri" w:hAnsi="Calibri" w:cs="Times New Roman"/>
                <w:sz w:val="20"/>
                <w:szCs w:val="20"/>
                <w:lang w:eastAsia="fr-BE"/>
              </w:rPr>
            </w:pPr>
          </w:p>
        </w:tc>
      </w:tr>
      <w:tr w:rsidR="00580FAF" w:rsidRPr="00580FAF" w:rsidTr="008510C1">
        <w:tc>
          <w:tcPr>
            <w:tcW w:w="8359" w:type="dxa"/>
          </w:tcPr>
          <w:p w:rsidR="00E86EB8" w:rsidRPr="00580FAF" w:rsidRDefault="00770354" w:rsidP="00E86EB8">
            <w:pPr>
              <w:spacing w:after="120" w:line="240" w:lineRule="auto"/>
              <w:ind w:left="425" w:hanging="425"/>
              <w:rPr>
                <w:rFonts w:ascii="Calibri" w:hAnsi="Calibri" w:cs="Times New Roman"/>
                <w:lang w:eastAsia="fr-BE"/>
              </w:rPr>
            </w:pPr>
            <w:sdt>
              <w:sdtPr>
                <w:rPr>
                  <w:rFonts w:ascii="Calibri" w:hAnsi="Calibri" w:cs="Times New Roman"/>
                  <w:lang w:eastAsia="fr-BE"/>
                </w:rPr>
                <w:id w:val="2092888780"/>
                <w14:checkbox>
                  <w14:checked w14:val="0"/>
                  <w14:checkedState w14:val="2612" w14:font="MS Gothic"/>
                  <w14:uncheckedState w14:val="2610" w14:font="MS Gothic"/>
                </w14:checkbox>
              </w:sdtPr>
              <w:sdtEndPr/>
              <w:sdtContent>
                <w:r w:rsidR="00580FAF" w:rsidRPr="00580FAF">
                  <w:rPr>
                    <w:rFonts w:ascii="Segoe UI Symbol" w:hAnsi="Segoe UI Symbol" w:cs="Segoe UI Symbol"/>
                    <w:lang w:eastAsia="fr-BE"/>
                  </w:rPr>
                  <w:t>☐</w:t>
                </w:r>
              </w:sdtContent>
            </w:sdt>
            <w:r w:rsidR="00405155">
              <w:rPr>
                <w:rFonts w:ascii="Calibri" w:hAnsi="Calibri" w:cs="Times New Roman"/>
                <w:lang w:eastAsia="fr-BE"/>
              </w:rPr>
              <w:t xml:space="preserve"> </w:t>
            </w:r>
            <w:r w:rsidR="008510C1">
              <w:rPr>
                <w:rFonts w:ascii="Calibri" w:hAnsi="Calibri" w:cs="Times New Roman"/>
                <w:lang w:eastAsia="fr-BE"/>
              </w:rPr>
              <w:tab/>
            </w:r>
            <w:proofErr w:type="gramStart"/>
            <w:r w:rsidR="00580FAF" w:rsidRPr="00580FAF">
              <w:rPr>
                <w:rFonts w:ascii="Calibri" w:hAnsi="Calibri" w:cs="Times New Roman"/>
                <w:lang w:val="en-US" w:eastAsia="fr-BE"/>
              </w:rPr>
              <w:t>offers</w:t>
            </w:r>
            <w:proofErr w:type="gramEnd"/>
            <w:r w:rsidR="00580FAF" w:rsidRPr="00580FAF">
              <w:rPr>
                <w:rFonts w:ascii="Calibri" w:hAnsi="Calibri" w:cs="Times New Roman"/>
                <w:lang w:val="en-US" w:eastAsia="fr-BE"/>
              </w:rPr>
              <w:t xml:space="preserve"> of </w:t>
            </w:r>
            <w:r w:rsidR="00580FAF" w:rsidRPr="00580FAF">
              <w:rPr>
                <w:rFonts w:ascii="Calibri" w:hAnsi="Calibri" w:cs="Times New Roman"/>
                <w:b/>
                <w:lang w:val="en-US" w:eastAsia="fr-BE"/>
              </w:rPr>
              <w:t>securities for a total consideration</w:t>
            </w:r>
            <w:r w:rsidR="00580FAF" w:rsidRPr="00580FAF">
              <w:rPr>
                <w:rFonts w:ascii="Calibri" w:hAnsi="Calibri" w:cs="Times New Roman"/>
                <w:lang w:val="en-US" w:eastAsia="fr-BE"/>
              </w:rPr>
              <w:t xml:space="preserve"> within the European Economic </w:t>
            </w:r>
            <w:r w:rsidR="00580FAF" w:rsidRPr="00580FAF">
              <w:rPr>
                <w:rFonts w:ascii="Calibri" w:hAnsi="Calibri" w:cs="Times New Roman"/>
                <w:b/>
                <w:lang w:val="en-US" w:eastAsia="fr-BE"/>
              </w:rPr>
              <w:t>Area of less than EUR 100,000 calculated over a period of 12 months</w:t>
            </w:r>
            <w:r w:rsidR="00580FAF" w:rsidRPr="00580FAF">
              <w:rPr>
                <w:rFonts w:ascii="Calibri" w:hAnsi="Calibri" w:cs="Times New Roman"/>
                <w:lang w:eastAsia="fr-BE"/>
              </w:rPr>
              <w:t>.</w:t>
            </w:r>
          </w:p>
        </w:tc>
        <w:tc>
          <w:tcPr>
            <w:tcW w:w="1695" w:type="dxa"/>
          </w:tcPr>
          <w:p w:rsidR="00E86EB8" w:rsidRPr="00580FAF" w:rsidRDefault="00E86EB8" w:rsidP="00580FAF">
            <w:pPr>
              <w:spacing w:after="120" w:line="240" w:lineRule="auto"/>
              <w:rPr>
                <w:rFonts w:ascii="Calibri" w:hAnsi="Calibri" w:cs="Times New Roman"/>
                <w:sz w:val="20"/>
                <w:szCs w:val="20"/>
                <w:lang w:eastAsia="fr-BE"/>
              </w:rPr>
            </w:pPr>
          </w:p>
        </w:tc>
      </w:tr>
    </w:tbl>
    <w:p w:rsidR="00CA2D95" w:rsidRDefault="00CA2D95" w:rsidP="00E86EB8">
      <w:pPr>
        <w:spacing w:after="120" w:line="240" w:lineRule="auto"/>
        <w:ind w:left="425" w:hanging="425"/>
        <w:rPr>
          <w:rFonts w:ascii="Calibri" w:hAnsi="Calibri" w:cs="Times New Roman"/>
          <w:lang w:eastAsia="fr-BE"/>
        </w:rPr>
        <w:sectPr w:rsidR="00CA2D95" w:rsidSect="008623E4">
          <w:pgSz w:w="11906" w:h="16838" w:code="9"/>
          <w:pgMar w:top="2495" w:right="991" w:bottom="1418" w:left="851" w:header="1531" w:footer="680" w:gutter="0"/>
          <w:cols w:space="708"/>
          <w:titlePg/>
          <w:docGrid w:linePitch="360"/>
        </w:sectPr>
      </w:pPr>
    </w:p>
    <w:p w:rsidR="00580FAF" w:rsidRPr="00580FAF" w:rsidRDefault="00FA4D8E" w:rsidP="00E86EB8">
      <w:pPr>
        <w:keepNext/>
        <w:keepLines/>
        <w:pBdr>
          <w:top w:val="single" w:sz="12" w:space="1" w:color="33444C"/>
          <w:bottom w:val="single" w:sz="12" w:space="1" w:color="33444C"/>
        </w:pBdr>
        <w:shd w:val="clear" w:color="auto" w:fill="E0E7EA"/>
        <w:spacing w:before="480" w:after="0" w:line="240" w:lineRule="auto"/>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lastRenderedPageBreak/>
        <w:t xml:space="preserve">5. </w:t>
      </w:r>
      <w:r w:rsidR="00580FAF" w:rsidRPr="00580FAF">
        <w:rPr>
          <w:rFonts w:ascii="Calibri" w:eastAsia="Times New Roman" w:hAnsi="Calibri" w:cs="Times New Roman"/>
          <w:b/>
          <w:bCs/>
          <w:color w:val="4C6572"/>
          <w:sz w:val="24"/>
          <w:szCs w:val="24"/>
          <w:lang w:eastAsia="fr-BE"/>
        </w:rPr>
        <w:t xml:space="preserve">Documentation and information to </w:t>
      </w:r>
      <w:proofErr w:type="gramStart"/>
      <w:r w:rsidR="00580FAF" w:rsidRPr="00580FAF">
        <w:rPr>
          <w:rFonts w:ascii="Calibri" w:eastAsia="Times New Roman" w:hAnsi="Calibri" w:cs="Times New Roman"/>
          <w:b/>
          <w:bCs/>
          <w:color w:val="4C6572"/>
          <w:sz w:val="24"/>
          <w:szCs w:val="24"/>
          <w:lang w:eastAsia="fr-BE"/>
        </w:rPr>
        <w:t>be provided</w:t>
      </w:r>
      <w:proofErr w:type="gramEnd"/>
    </w:p>
    <w:p w:rsidR="00580FAF" w:rsidRPr="00580FAF" w:rsidRDefault="00EF28C7" w:rsidP="00F2413E">
      <w:pPr>
        <w:tabs>
          <w:tab w:val="left" w:pos="709"/>
        </w:tabs>
        <w:spacing w:before="240" w:after="0" w:line="240" w:lineRule="auto"/>
        <w:rPr>
          <w:rFonts w:ascii="Calibri" w:eastAsia="Times New Roman" w:hAnsi="Calibri" w:cs="Arial"/>
          <w:szCs w:val="18"/>
          <w:lang w:eastAsia="fr-BE"/>
        </w:rPr>
      </w:pPr>
      <w:proofErr w:type="gramStart"/>
      <w:r>
        <w:rPr>
          <w:rFonts w:ascii="Calibri" w:eastAsia="Times New Roman" w:hAnsi="Calibri" w:cs="Arial"/>
          <w:szCs w:val="18"/>
          <w:lang w:eastAsia="fr-BE"/>
        </w:rPr>
        <w:t xml:space="preserve">5.1 </w:t>
      </w:r>
      <w:r w:rsidR="00580FAF" w:rsidRPr="00580FAF">
        <w:rPr>
          <w:rFonts w:ascii="Calibri" w:eastAsia="Times New Roman" w:hAnsi="Calibri" w:cs="Arial"/>
          <w:szCs w:val="18"/>
          <w:lang w:eastAsia="fr-BE"/>
        </w:rPr>
        <w:t>Please</w:t>
      </w:r>
      <w:proofErr w:type="gramEnd"/>
      <w:r w:rsidR="00580FAF" w:rsidRPr="00580FAF">
        <w:rPr>
          <w:rFonts w:ascii="Calibri" w:eastAsia="Times New Roman" w:hAnsi="Calibri" w:cs="Arial"/>
          <w:szCs w:val="18"/>
          <w:lang w:eastAsia="fr-BE"/>
        </w:rPr>
        <w:t xml:space="preserve"> attach</w:t>
      </w:r>
    </w:p>
    <w:p w:rsidR="00580FAF" w:rsidRPr="00580FAF" w:rsidRDefault="00770354" w:rsidP="008510C1">
      <w:pPr>
        <w:tabs>
          <w:tab w:val="left" w:pos="709"/>
        </w:tabs>
        <w:spacing w:before="120" w:after="0" w:line="240" w:lineRule="auto"/>
        <w:ind w:left="426" w:hanging="426"/>
        <w:rPr>
          <w:rFonts w:ascii="Calibri" w:eastAsia="Times New Roman" w:hAnsi="Calibri" w:cs="Arial"/>
          <w:szCs w:val="18"/>
          <w:lang w:eastAsia="fr-BE"/>
        </w:rPr>
      </w:pPr>
      <w:sdt>
        <w:sdtPr>
          <w:rPr>
            <w:rFonts w:ascii="Calibri" w:eastAsia="Times New Roman" w:hAnsi="Calibri" w:cs="Arial"/>
            <w:szCs w:val="18"/>
            <w:lang w:eastAsia="fr-BE"/>
          </w:rPr>
          <w:id w:val="610484243"/>
          <w14:checkbox>
            <w14:checked w14:val="0"/>
            <w14:checkedState w14:val="2612" w14:font="MS Gothic"/>
            <w14:uncheckedState w14:val="2610" w14:font="MS Gothic"/>
          </w14:checkbox>
        </w:sdtPr>
        <w:sdtEndPr/>
        <w:sdtContent>
          <w:r w:rsidR="00580FAF" w:rsidRPr="00580FAF">
            <w:rPr>
              <w:rFonts w:ascii="Segoe UI Symbol" w:eastAsia="Times New Roman" w:hAnsi="Segoe UI Symbol" w:cs="Segoe UI Symbol"/>
              <w:szCs w:val="18"/>
              <w:lang w:eastAsia="fr-BE"/>
            </w:rPr>
            <w:t>☐</w:t>
          </w:r>
        </w:sdtContent>
      </w:sdt>
      <w:r w:rsidR="008510C1">
        <w:rPr>
          <w:rFonts w:ascii="Calibri" w:eastAsia="Times New Roman" w:hAnsi="Calibri" w:cs="Arial"/>
          <w:szCs w:val="18"/>
          <w:lang w:eastAsia="fr-BE"/>
        </w:rPr>
        <w:t xml:space="preserve"> </w:t>
      </w:r>
      <w:r w:rsidR="008510C1">
        <w:rPr>
          <w:rFonts w:ascii="Calibri" w:eastAsia="Times New Roman" w:hAnsi="Calibri" w:cs="Arial"/>
          <w:szCs w:val="18"/>
          <w:lang w:eastAsia="fr-BE"/>
        </w:rPr>
        <w:tab/>
      </w:r>
      <w:proofErr w:type="gramStart"/>
      <w:r w:rsidR="00580FAF" w:rsidRPr="00580FAF">
        <w:rPr>
          <w:rFonts w:ascii="Calibri" w:eastAsia="Times New Roman" w:hAnsi="Calibri" w:cs="Arial"/>
          <w:szCs w:val="18"/>
          <w:lang w:eastAsia="fr-BE"/>
        </w:rPr>
        <w:t>the</w:t>
      </w:r>
      <w:proofErr w:type="gramEnd"/>
      <w:r w:rsidR="00580FAF" w:rsidRPr="00580FAF">
        <w:rPr>
          <w:rFonts w:ascii="Calibri" w:eastAsia="Times New Roman" w:hAnsi="Calibri" w:cs="Arial"/>
          <w:szCs w:val="18"/>
          <w:lang w:eastAsia="fr-BE"/>
        </w:rPr>
        <w:t xml:space="preserve"> rules or instruments of incorporation of the AIF;</w:t>
      </w:r>
    </w:p>
    <w:p w:rsidR="00580FAF" w:rsidRPr="00580FAF" w:rsidRDefault="00770354" w:rsidP="008510C1">
      <w:pPr>
        <w:tabs>
          <w:tab w:val="left" w:pos="709"/>
        </w:tabs>
        <w:spacing w:after="120" w:line="240" w:lineRule="auto"/>
        <w:ind w:left="426" w:hanging="426"/>
        <w:contextualSpacing/>
        <w:rPr>
          <w:rFonts w:ascii="Calibri" w:eastAsia="Times New Roman" w:hAnsi="Calibri" w:cs="Arial"/>
          <w:szCs w:val="18"/>
          <w:lang w:eastAsia="fr-BE"/>
        </w:rPr>
      </w:pPr>
      <w:sdt>
        <w:sdtPr>
          <w:rPr>
            <w:rFonts w:ascii="Calibri" w:eastAsia="Times New Roman" w:hAnsi="Calibri" w:cs="Arial"/>
            <w:szCs w:val="18"/>
            <w:lang w:eastAsia="fr-BE"/>
          </w:rPr>
          <w:id w:val="2113243203"/>
          <w14:checkbox>
            <w14:checked w14:val="0"/>
            <w14:checkedState w14:val="2612" w14:font="MS Gothic"/>
            <w14:uncheckedState w14:val="2610" w14:font="MS Gothic"/>
          </w14:checkbox>
        </w:sdtPr>
        <w:sdtEndPr/>
        <w:sdtContent>
          <w:r w:rsidR="00580FAF" w:rsidRPr="00580FAF">
            <w:rPr>
              <w:rFonts w:ascii="Segoe UI Symbol" w:eastAsia="Times New Roman" w:hAnsi="Segoe UI Symbol" w:cs="Segoe UI Symbol"/>
              <w:szCs w:val="18"/>
              <w:lang w:eastAsia="fr-BE"/>
            </w:rPr>
            <w:t>☐</w:t>
          </w:r>
        </w:sdtContent>
      </w:sdt>
      <w:r w:rsidR="008510C1">
        <w:rPr>
          <w:rFonts w:ascii="Calibri" w:eastAsia="Times New Roman" w:hAnsi="Calibri" w:cs="Arial"/>
          <w:szCs w:val="18"/>
          <w:lang w:eastAsia="fr-BE"/>
        </w:rPr>
        <w:t xml:space="preserve"> </w:t>
      </w:r>
      <w:r w:rsidR="008510C1">
        <w:rPr>
          <w:rFonts w:ascii="Calibri" w:eastAsia="Times New Roman" w:hAnsi="Calibri" w:cs="Arial"/>
          <w:szCs w:val="18"/>
          <w:lang w:eastAsia="fr-BE"/>
        </w:rPr>
        <w:tab/>
      </w:r>
      <w:proofErr w:type="gramStart"/>
      <w:r w:rsidR="00580FAF" w:rsidRPr="00580FAF">
        <w:rPr>
          <w:rFonts w:ascii="Calibri" w:eastAsia="Times New Roman" w:hAnsi="Calibri" w:cs="Arial"/>
          <w:szCs w:val="18"/>
          <w:lang w:eastAsia="fr-BE"/>
        </w:rPr>
        <w:t>a</w:t>
      </w:r>
      <w:proofErr w:type="gramEnd"/>
      <w:r w:rsidR="00580FAF" w:rsidRPr="00580FAF">
        <w:rPr>
          <w:rFonts w:ascii="Calibri" w:eastAsia="Times New Roman" w:hAnsi="Calibri" w:cs="Arial"/>
          <w:szCs w:val="18"/>
          <w:lang w:eastAsia="fr-BE"/>
        </w:rPr>
        <w:t xml:space="preserve"> description of, or any information on, the AIF available to investors;</w:t>
      </w:r>
    </w:p>
    <w:p w:rsidR="00580FAF" w:rsidRPr="00580FAF" w:rsidRDefault="00770354" w:rsidP="008510C1">
      <w:pPr>
        <w:tabs>
          <w:tab w:val="left" w:pos="709"/>
        </w:tabs>
        <w:spacing w:after="120" w:line="240" w:lineRule="auto"/>
        <w:ind w:left="426" w:hanging="426"/>
        <w:contextualSpacing/>
        <w:rPr>
          <w:rFonts w:ascii="Calibri" w:eastAsia="Times New Roman" w:hAnsi="Calibri" w:cs="Times New Roman"/>
          <w:lang w:eastAsia="fr-BE"/>
        </w:rPr>
      </w:pPr>
      <w:sdt>
        <w:sdtPr>
          <w:rPr>
            <w:rFonts w:ascii="Calibri" w:eastAsia="Times New Roman" w:hAnsi="Calibri" w:cs="Arial"/>
            <w:szCs w:val="18"/>
            <w:lang w:eastAsia="fr-BE"/>
          </w:rPr>
          <w:id w:val="-982849382"/>
          <w14:checkbox>
            <w14:checked w14:val="0"/>
            <w14:checkedState w14:val="2612" w14:font="MS Gothic"/>
            <w14:uncheckedState w14:val="2610" w14:font="MS Gothic"/>
          </w14:checkbox>
        </w:sdtPr>
        <w:sdtEndPr/>
        <w:sdtContent>
          <w:r w:rsidR="00580FAF" w:rsidRPr="00580FAF">
            <w:rPr>
              <w:rFonts w:ascii="Segoe UI Symbol" w:eastAsia="Times New Roman" w:hAnsi="Segoe UI Symbol" w:cs="Segoe UI Symbol"/>
              <w:szCs w:val="18"/>
              <w:lang w:eastAsia="fr-BE"/>
            </w:rPr>
            <w:t>☐</w:t>
          </w:r>
        </w:sdtContent>
      </w:sdt>
      <w:r w:rsidR="008510C1">
        <w:rPr>
          <w:rFonts w:ascii="Calibri" w:eastAsia="Times New Roman" w:hAnsi="Calibri" w:cs="Arial"/>
          <w:szCs w:val="18"/>
          <w:lang w:eastAsia="fr-BE"/>
        </w:rPr>
        <w:t xml:space="preserve"> </w:t>
      </w:r>
      <w:r w:rsidR="008510C1">
        <w:rPr>
          <w:rFonts w:ascii="Calibri" w:eastAsia="Times New Roman" w:hAnsi="Calibri" w:cs="Arial"/>
          <w:szCs w:val="18"/>
          <w:lang w:eastAsia="fr-BE"/>
        </w:rPr>
        <w:tab/>
      </w:r>
      <w:proofErr w:type="gramStart"/>
      <w:r w:rsidR="00580FAF" w:rsidRPr="00580FAF">
        <w:rPr>
          <w:rFonts w:ascii="Calibri" w:eastAsia="Times New Roman" w:hAnsi="Calibri" w:cs="Arial"/>
          <w:szCs w:val="18"/>
          <w:lang w:eastAsia="fr-BE"/>
        </w:rPr>
        <w:t>for</w:t>
      </w:r>
      <w:proofErr w:type="gramEnd"/>
      <w:r w:rsidR="00580FAF" w:rsidRPr="00580FAF">
        <w:rPr>
          <w:rFonts w:ascii="Calibri" w:eastAsia="Times New Roman" w:hAnsi="Calibri" w:cs="Arial"/>
          <w:szCs w:val="18"/>
          <w:lang w:eastAsia="fr-BE"/>
        </w:rPr>
        <w:t xml:space="preserve"> each AIF the AIFM intends to market</w:t>
      </w:r>
      <w:r w:rsidR="00580FAF" w:rsidRPr="00580FAF">
        <w:rPr>
          <w:rFonts w:ascii="Calibri" w:eastAsia="Times New Roman" w:hAnsi="Calibri" w:cs="Times New Roman"/>
          <w:lang w:eastAsia="fr-BE"/>
        </w:rPr>
        <w:t>, the information in Annex 1 to this form;</w:t>
      </w:r>
    </w:p>
    <w:p w:rsidR="00580FAF" w:rsidRDefault="00770354" w:rsidP="008510C1">
      <w:pPr>
        <w:tabs>
          <w:tab w:val="left" w:pos="709"/>
        </w:tabs>
        <w:spacing w:after="120" w:line="240" w:lineRule="auto"/>
        <w:ind w:left="426" w:hanging="426"/>
        <w:contextualSpacing/>
        <w:rPr>
          <w:rFonts w:ascii="Calibri" w:eastAsia="Times New Roman" w:hAnsi="Calibri" w:cs="Times New Roman"/>
          <w:lang w:eastAsia="fr-BE"/>
        </w:rPr>
      </w:pPr>
      <w:sdt>
        <w:sdtPr>
          <w:rPr>
            <w:rFonts w:ascii="Calibri" w:eastAsia="Times New Roman" w:hAnsi="Calibri" w:cs="Arial"/>
            <w:szCs w:val="18"/>
            <w:lang w:eastAsia="fr-BE"/>
          </w:rPr>
          <w:id w:val="1636675021"/>
          <w14:checkbox>
            <w14:checked w14:val="0"/>
            <w14:checkedState w14:val="2612" w14:font="MS Gothic"/>
            <w14:uncheckedState w14:val="2610" w14:font="MS Gothic"/>
          </w14:checkbox>
        </w:sdtPr>
        <w:sdtEndPr/>
        <w:sdtContent>
          <w:r w:rsidR="00580FAF" w:rsidRPr="00580FAF">
            <w:rPr>
              <w:rFonts w:ascii="Segoe UI Symbol" w:eastAsia="Times New Roman" w:hAnsi="Segoe UI Symbol" w:cs="Segoe UI Symbol"/>
              <w:szCs w:val="18"/>
              <w:lang w:eastAsia="fr-BE"/>
            </w:rPr>
            <w:t>☐</w:t>
          </w:r>
        </w:sdtContent>
      </w:sdt>
      <w:r w:rsidR="008510C1">
        <w:rPr>
          <w:rFonts w:ascii="Calibri" w:eastAsia="Times New Roman" w:hAnsi="Calibri" w:cs="Arial"/>
          <w:szCs w:val="18"/>
          <w:lang w:eastAsia="fr-BE"/>
        </w:rPr>
        <w:t xml:space="preserve"> </w:t>
      </w:r>
      <w:r w:rsidR="008510C1">
        <w:rPr>
          <w:rFonts w:ascii="Calibri" w:eastAsia="Times New Roman" w:hAnsi="Calibri" w:cs="Arial"/>
          <w:szCs w:val="18"/>
          <w:lang w:eastAsia="fr-BE"/>
        </w:rPr>
        <w:tab/>
      </w:r>
      <w:proofErr w:type="gramStart"/>
      <w:r w:rsidR="00580FAF" w:rsidRPr="00580FAF">
        <w:rPr>
          <w:rFonts w:ascii="Calibri" w:eastAsia="Times New Roman" w:hAnsi="Calibri" w:cs="Arial"/>
          <w:szCs w:val="18"/>
          <w:lang w:eastAsia="fr-BE"/>
        </w:rPr>
        <w:t>the</w:t>
      </w:r>
      <w:proofErr w:type="gramEnd"/>
      <w:r w:rsidR="00580FAF" w:rsidRPr="00580FAF">
        <w:rPr>
          <w:rFonts w:ascii="Calibri" w:eastAsia="Times New Roman" w:hAnsi="Calibri" w:cs="Times New Roman"/>
          <w:lang w:eastAsia="fr-BE"/>
        </w:rPr>
        <w:t xml:space="preserve"> statement in Annex 2 to this form, duly completed and signed on behalf of the AIFM.</w:t>
      </w:r>
    </w:p>
    <w:p w:rsidR="00E86EB8" w:rsidRDefault="00E86EB8" w:rsidP="008510C1">
      <w:pPr>
        <w:tabs>
          <w:tab w:val="left" w:pos="709"/>
        </w:tabs>
        <w:spacing w:after="120" w:line="240" w:lineRule="auto"/>
        <w:ind w:left="426" w:hanging="426"/>
        <w:contextualSpacing/>
        <w:rPr>
          <w:rFonts w:ascii="Calibri" w:eastAsia="Times New Roman" w:hAnsi="Calibri" w:cs="Times New Roman"/>
          <w:lang w:eastAsia="fr-BE"/>
        </w:rPr>
      </w:pPr>
    </w:p>
    <w:p w:rsidR="00D601F3" w:rsidRDefault="00EF28C7" w:rsidP="008510C1">
      <w:pPr>
        <w:tabs>
          <w:tab w:val="left" w:pos="709"/>
        </w:tabs>
        <w:spacing w:before="240" w:after="0" w:line="240" w:lineRule="auto"/>
        <w:rPr>
          <w:rFonts w:ascii="Calibri" w:eastAsia="Times New Roman" w:hAnsi="Calibri" w:cs="Times New Roman"/>
          <w:lang w:eastAsia="fr-BE"/>
        </w:rPr>
      </w:pPr>
      <w:r>
        <w:rPr>
          <w:rFonts w:ascii="Calibri" w:eastAsia="Times New Roman" w:hAnsi="Calibri" w:cs="Times New Roman"/>
          <w:lang w:eastAsia="fr-BE"/>
        </w:rPr>
        <w:t xml:space="preserve">5.2 </w:t>
      </w:r>
      <w:r w:rsidR="00D601F3">
        <w:rPr>
          <w:rFonts w:ascii="Calibri" w:eastAsia="Times New Roman" w:hAnsi="Calibri" w:cs="Times New Roman"/>
          <w:lang w:eastAsia="fr-BE"/>
        </w:rPr>
        <w:t>For AIFM reporting purposes:</w:t>
      </w:r>
    </w:p>
    <w:p w:rsidR="00EF28C7" w:rsidRDefault="00D601F3" w:rsidP="008510C1">
      <w:pPr>
        <w:tabs>
          <w:tab w:val="left" w:pos="709"/>
        </w:tabs>
        <w:spacing w:before="120" w:after="240" w:line="240" w:lineRule="auto"/>
        <w:rPr>
          <w:rFonts w:ascii="Calibri" w:eastAsia="Times New Roman" w:hAnsi="Calibri" w:cs="Arial"/>
          <w:szCs w:val="18"/>
          <w:lang w:eastAsia="fr-BE"/>
        </w:rPr>
      </w:pPr>
      <w:r>
        <w:rPr>
          <w:rFonts w:ascii="Calibri" w:eastAsia="Times New Roman" w:hAnsi="Calibri" w:cs="Times New Roman"/>
          <w:lang w:eastAsia="fr-BE"/>
        </w:rPr>
        <w:t xml:space="preserve">5.2.1 </w:t>
      </w:r>
      <w:r w:rsidR="00F95054" w:rsidRPr="00F95054">
        <w:rPr>
          <w:rFonts w:ascii="Calibri" w:eastAsia="Times New Roman" w:hAnsi="Calibri" w:cs="Arial"/>
          <w:szCs w:val="18"/>
          <w:lang w:eastAsia="fr-BE"/>
        </w:rPr>
        <w:t>Please specify the names o</w:t>
      </w:r>
      <w:r w:rsidR="006A6BD7">
        <w:rPr>
          <w:rFonts w:ascii="Calibri" w:eastAsia="Times New Roman" w:hAnsi="Calibri" w:cs="Arial"/>
          <w:szCs w:val="18"/>
          <w:lang w:eastAsia="fr-BE"/>
        </w:rPr>
        <w:t xml:space="preserve">f the </w:t>
      </w:r>
      <w:proofErr w:type="gramStart"/>
      <w:r w:rsidR="006A6BD7">
        <w:rPr>
          <w:rFonts w:ascii="Calibri" w:eastAsia="Times New Roman" w:hAnsi="Calibri" w:cs="Arial"/>
          <w:szCs w:val="18"/>
          <w:lang w:eastAsia="fr-BE"/>
        </w:rPr>
        <w:t>2</w:t>
      </w:r>
      <w:proofErr w:type="gramEnd"/>
      <w:r w:rsidR="006A6BD7">
        <w:rPr>
          <w:rFonts w:ascii="Calibri" w:eastAsia="Times New Roman" w:hAnsi="Calibri" w:cs="Arial"/>
          <w:szCs w:val="18"/>
          <w:lang w:eastAsia="fr-BE"/>
        </w:rPr>
        <w:t xml:space="preserve"> persons authorized to file the necessary reporting</w:t>
      </w:r>
      <w:r w:rsidR="00F95054" w:rsidRPr="00F95054">
        <w:rPr>
          <w:rFonts w:ascii="Calibri" w:eastAsia="Times New Roman" w:hAnsi="Calibri" w:cs="Arial"/>
          <w:szCs w:val="18"/>
          <w:lang w:eastAsia="fr-BE"/>
        </w:rPr>
        <w:t>.</w:t>
      </w:r>
    </w:p>
    <w:tbl>
      <w:tblPr>
        <w:tblStyle w:val="TableGrid"/>
        <w:tblW w:w="0" w:type="auto"/>
        <w:tblLook w:val="04A0" w:firstRow="1" w:lastRow="0" w:firstColumn="1" w:lastColumn="0" w:noHBand="0" w:noVBand="1"/>
      </w:tblPr>
      <w:tblGrid>
        <w:gridCol w:w="2055"/>
        <w:gridCol w:w="2084"/>
        <w:gridCol w:w="2088"/>
        <w:gridCol w:w="2014"/>
        <w:gridCol w:w="1813"/>
      </w:tblGrid>
      <w:tr w:rsidR="00E712DA" w:rsidTr="008B051A">
        <w:tc>
          <w:tcPr>
            <w:tcW w:w="2055" w:type="dxa"/>
          </w:tcPr>
          <w:p w:rsidR="00E712DA" w:rsidRDefault="00E712DA" w:rsidP="007E11B5">
            <w:pPr>
              <w:tabs>
                <w:tab w:val="left" w:pos="709"/>
              </w:tabs>
              <w:spacing w:after="120" w:line="240" w:lineRule="auto"/>
              <w:contextualSpacing/>
              <w:rPr>
                <w:rFonts w:cs="Arial"/>
                <w:color w:val="333333"/>
              </w:rPr>
            </w:pPr>
            <w:r w:rsidRPr="00E718B0">
              <w:rPr>
                <w:rFonts w:cs="Arial"/>
                <w:color w:val="333333"/>
              </w:rPr>
              <w:t>Surname</w:t>
            </w:r>
          </w:p>
          <w:p w:rsidR="00E712DA" w:rsidRDefault="00E712DA" w:rsidP="00580FAF">
            <w:pPr>
              <w:tabs>
                <w:tab w:val="left" w:pos="709"/>
              </w:tabs>
              <w:spacing w:after="120" w:line="240" w:lineRule="auto"/>
              <w:contextualSpacing/>
              <w:rPr>
                <w:rFonts w:ascii="Calibri" w:eastAsia="Times New Roman" w:hAnsi="Calibri" w:cs="Arial"/>
                <w:szCs w:val="18"/>
                <w:lang w:eastAsia="fr-BE"/>
              </w:rPr>
            </w:pPr>
          </w:p>
        </w:tc>
        <w:tc>
          <w:tcPr>
            <w:tcW w:w="2084"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r w:rsidRPr="00E718B0">
              <w:rPr>
                <w:rFonts w:cs="Arial"/>
                <w:color w:val="333333"/>
              </w:rPr>
              <w:t>First</w:t>
            </w:r>
            <w:r w:rsidR="00F95054">
              <w:rPr>
                <w:rFonts w:cs="Arial"/>
                <w:color w:val="333333"/>
              </w:rPr>
              <w:t xml:space="preserve"> </w:t>
            </w:r>
            <w:r w:rsidRPr="00E718B0">
              <w:rPr>
                <w:rFonts w:cs="Arial"/>
                <w:color w:val="333333"/>
              </w:rPr>
              <w:t>name</w:t>
            </w:r>
          </w:p>
        </w:tc>
        <w:tc>
          <w:tcPr>
            <w:tcW w:w="2088"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r w:rsidRPr="00E718B0">
              <w:rPr>
                <w:rFonts w:cs="Arial"/>
                <w:color w:val="333333"/>
                <w:sz w:val="21"/>
                <w:szCs w:val="21"/>
                <w:lang w:val="en-US"/>
              </w:rPr>
              <w:t>Telephone number</w:t>
            </w:r>
          </w:p>
        </w:tc>
        <w:tc>
          <w:tcPr>
            <w:tcW w:w="2014"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r w:rsidRPr="00E718B0">
              <w:rPr>
                <w:rFonts w:cs="Arial"/>
                <w:color w:val="333333"/>
                <w:sz w:val="21"/>
                <w:szCs w:val="21"/>
                <w:lang w:val="en-US"/>
              </w:rPr>
              <w:t>Email address</w:t>
            </w:r>
          </w:p>
        </w:tc>
        <w:tc>
          <w:tcPr>
            <w:tcW w:w="1813" w:type="dxa"/>
          </w:tcPr>
          <w:p w:rsidR="00E712DA" w:rsidRPr="00E718B0" w:rsidRDefault="00E712DA" w:rsidP="00E712DA">
            <w:pPr>
              <w:tabs>
                <w:tab w:val="left" w:pos="709"/>
              </w:tabs>
              <w:spacing w:after="120" w:line="240" w:lineRule="auto"/>
              <w:contextualSpacing/>
              <w:rPr>
                <w:rFonts w:cs="Arial"/>
                <w:color w:val="333333"/>
                <w:sz w:val="21"/>
                <w:szCs w:val="21"/>
                <w:lang w:val="en-US"/>
              </w:rPr>
            </w:pPr>
            <w:r>
              <w:rPr>
                <w:rFonts w:cs="Arial"/>
                <w:color w:val="333333"/>
                <w:sz w:val="21"/>
                <w:szCs w:val="21"/>
                <w:lang w:val="en-US"/>
              </w:rPr>
              <w:t>Company</w:t>
            </w:r>
            <w:r>
              <w:t>*</w:t>
            </w:r>
          </w:p>
        </w:tc>
      </w:tr>
      <w:tr w:rsidR="00E712DA" w:rsidTr="008B051A">
        <w:tc>
          <w:tcPr>
            <w:tcW w:w="2055"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r>
              <w:rPr>
                <w:rFonts w:ascii="Calibri" w:eastAsia="Times New Roman" w:hAnsi="Calibri" w:cs="Arial"/>
                <w:szCs w:val="18"/>
                <w:lang w:eastAsia="fr-BE"/>
              </w:rPr>
              <w:t>1.</w:t>
            </w:r>
          </w:p>
        </w:tc>
        <w:tc>
          <w:tcPr>
            <w:tcW w:w="2084"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p>
        </w:tc>
        <w:tc>
          <w:tcPr>
            <w:tcW w:w="2088"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p>
        </w:tc>
        <w:tc>
          <w:tcPr>
            <w:tcW w:w="2014"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p>
        </w:tc>
        <w:tc>
          <w:tcPr>
            <w:tcW w:w="1813"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p>
        </w:tc>
      </w:tr>
      <w:tr w:rsidR="00E712DA" w:rsidTr="008B051A">
        <w:tc>
          <w:tcPr>
            <w:tcW w:w="2055"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r>
              <w:rPr>
                <w:rFonts w:ascii="Calibri" w:eastAsia="Times New Roman" w:hAnsi="Calibri" w:cs="Arial"/>
                <w:szCs w:val="18"/>
                <w:lang w:eastAsia="fr-BE"/>
              </w:rPr>
              <w:t xml:space="preserve">2. </w:t>
            </w:r>
          </w:p>
        </w:tc>
        <w:tc>
          <w:tcPr>
            <w:tcW w:w="2084"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p>
        </w:tc>
        <w:tc>
          <w:tcPr>
            <w:tcW w:w="2088"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p>
        </w:tc>
        <w:tc>
          <w:tcPr>
            <w:tcW w:w="2014"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p>
        </w:tc>
        <w:tc>
          <w:tcPr>
            <w:tcW w:w="1813" w:type="dxa"/>
          </w:tcPr>
          <w:p w:rsidR="00E712DA" w:rsidRDefault="00E712DA" w:rsidP="00580FAF">
            <w:pPr>
              <w:tabs>
                <w:tab w:val="left" w:pos="709"/>
              </w:tabs>
              <w:spacing w:after="120" w:line="240" w:lineRule="auto"/>
              <w:contextualSpacing/>
              <w:rPr>
                <w:rFonts w:ascii="Calibri" w:eastAsia="Times New Roman" w:hAnsi="Calibri" w:cs="Arial"/>
                <w:szCs w:val="18"/>
                <w:lang w:eastAsia="fr-BE"/>
              </w:rPr>
            </w:pPr>
          </w:p>
        </w:tc>
      </w:tr>
    </w:tbl>
    <w:p w:rsidR="00E712DA" w:rsidRPr="008B051A" w:rsidRDefault="00E712DA" w:rsidP="008510C1">
      <w:pPr>
        <w:spacing w:before="240" w:after="0"/>
        <w:rPr>
          <w:rFonts w:cs="Arial"/>
          <w:color w:val="333333"/>
          <w:lang w:val="en-US" w:eastAsia="nl-BE"/>
        </w:rPr>
      </w:pPr>
      <w:r w:rsidRPr="008B051A">
        <w:rPr>
          <w:rFonts w:eastAsia="Times New Roman" w:cs="Arial"/>
          <w:lang w:val="en-US" w:eastAsia="fr-BE"/>
        </w:rPr>
        <w:t xml:space="preserve">* </w:t>
      </w:r>
      <w:r w:rsidRPr="008B051A">
        <w:rPr>
          <w:rFonts w:cs="Arial"/>
          <w:color w:val="333333"/>
          <w:lang w:val="en-US" w:eastAsia="nl-BE"/>
        </w:rPr>
        <w:t xml:space="preserve">If reporting </w:t>
      </w:r>
      <w:proofErr w:type="gramStart"/>
      <w:r w:rsidRPr="008B051A">
        <w:rPr>
          <w:rFonts w:cs="Arial"/>
          <w:color w:val="333333"/>
          <w:lang w:val="en-US" w:eastAsia="nl-BE"/>
        </w:rPr>
        <w:t>is outsourced</w:t>
      </w:r>
      <w:proofErr w:type="gramEnd"/>
      <w:r w:rsidRPr="008B051A">
        <w:rPr>
          <w:rFonts w:cs="Arial"/>
          <w:color w:val="333333"/>
          <w:lang w:val="en-US" w:eastAsia="nl-BE"/>
        </w:rPr>
        <w:t xml:space="preserve"> to a third party, please indicate the full name of this third party.</w:t>
      </w:r>
    </w:p>
    <w:p w:rsidR="00E712DA" w:rsidRDefault="00E712DA" w:rsidP="008510C1">
      <w:pPr>
        <w:tabs>
          <w:tab w:val="left" w:pos="709"/>
        </w:tabs>
        <w:spacing w:before="240" w:after="240" w:line="240" w:lineRule="auto"/>
        <w:rPr>
          <w:rFonts w:ascii="Calibri" w:eastAsia="Times New Roman" w:hAnsi="Calibri" w:cs="Times New Roman"/>
          <w:lang w:eastAsia="fr-BE"/>
        </w:rPr>
      </w:pPr>
      <w:proofErr w:type="gramStart"/>
      <w:r w:rsidRPr="00280E10">
        <w:rPr>
          <w:rFonts w:ascii="Calibri" w:eastAsia="Times New Roman" w:hAnsi="Calibri" w:cs="Times New Roman"/>
          <w:lang w:eastAsia="fr-BE"/>
        </w:rPr>
        <w:t>5.2</w:t>
      </w:r>
      <w:r w:rsidR="00D601F3">
        <w:rPr>
          <w:rFonts w:ascii="Calibri" w:eastAsia="Times New Roman" w:hAnsi="Calibri" w:cs="Times New Roman"/>
          <w:lang w:eastAsia="fr-BE"/>
        </w:rPr>
        <w:t>.2 Please</w:t>
      </w:r>
      <w:proofErr w:type="gramEnd"/>
      <w:r w:rsidR="00D601F3">
        <w:rPr>
          <w:rFonts w:ascii="Calibri" w:eastAsia="Times New Roman" w:hAnsi="Calibri" w:cs="Times New Roman"/>
          <w:lang w:eastAsia="fr-BE"/>
        </w:rPr>
        <w:t xml:space="preserve"> specify the following i</w:t>
      </w:r>
      <w:r w:rsidRPr="00280E10">
        <w:rPr>
          <w:rFonts w:ascii="Calibri" w:eastAsia="Times New Roman" w:hAnsi="Calibri" w:cs="Times New Roman"/>
          <w:lang w:eastAsia="fr-BE"/>
        </w:rPr>
        <w:t>nformation regarding the AIFs marketed in Belgium</w:t>
      </w:r>
    </w:p>
    <w:tbl>
      <w:tblPr>
        <w:tblStyle w:val="TableGrid"/>
        <w:tblW w:w="0" w:type="auto"/>
        <w:tblLook w:val="04A0" w:firstRow="1" w:lastRow="0" w:firstColumn="1" w:lastColumn="0" w:noHBand="0" w:noVBand="1"/>
      </w:tblPr>
      <w:tblGrid>
        <w:gridCol w:w="2513"/>
        <w:gridCol w:w="2513"/>
        <w:gridCol w:w="2514"/>
        <w:gridCol w:w="2514"/>
      </w:tblGrid>
      <w:tr w:rsidR="009F3EF9" w:rsidTr="009F3EF9">
        <w:tc>
          <w:tcPr>
            <w:tcW w:w="2513" w:type="dxa"/>
          </w:tcPr>
          <w:p w:rsidR="009F3EF9" w:rsidRDefault="009F3EF9" w:rsidP="009F3EF9">
            <w:pPr>
              <w:tabs>
                <w:tab w:val="left" w:pos="709"/>
              </w:tabs>
              <w:spacing w:after="120" w:line="240" w:lineRule="auto"/>
              <w:contextualSpacing/>
              <w:rPr>
                <w:rFonts w:ascii="Calibri" w:eastAsia="Times New Roman" w:hAnsi="Calibri" w:cs="Times New Roman"/>
                <w:lang w:eastAsia="fr-BE"/>
              </w:rPr>
            </w:pPr>
            <w:r w:rsidRPr="009F3EF9">
              <w:rPr>
                <w:rFonts w:ascii="Calibri" w:eastAsia="Times New Roman" w:hAnsi="Calibri" w:cs="Arial"/>
                <w:szCs w:val="18"/>
                <w:lang w:eastAsia="fr-BE"/>
              </w:rPr>
              <w:t>Compartment / AIF Name</w:t>
            </w:r>
          </w:p>
        </w:tc>
        <w:tc>
          <w:tcPr>
            <w:tcW w:w="2513" w:type="dxa"/>
          </w:tcPr>
          <w:p w:rsidR="009F3EF9" w:rsidRDefault="009F3EF9" w:rsidP="009F3EF9">
            <w:pPr>
              <w:tabs>
                <w:tab w:val="left" w:pos="709"/>
              </w:tabs>
              <w:spacing w:after="120" w:line="240" w:lineRule="auto"/>
              <w:contextualSpacing/>
              <w:rPr>
                <w:rFonts w:ascii="Calibri" w:eastAsia="Times New Roman" w:hAnsi="Calibri" w:cs="Times New Roman"/>
                <w:lang w:eastAsia="fr-BE"/>
              </w:rPr>
            </w:pPr>
            <w:proofErr w:type="gramStart"/>
            <w:r w:rsidRPr="009F3EF9">
              <w:rPr>
                <w:rFonts w:ascii="Calibri" w:eastAsia="Times New Roman" w:hAnsi="Calibri" w:cs="Arial"/>
                <w:szCs w:val="18"/>
                <w:lang w:eastAsia="fr-BE"/>
              </w:rPr>
              <w:t>Amount of assets under management?</w:t>
            </w:r>
            <w:proofErr w:type="gramEnd"/>
          </w:p>
        </w:tc>
        <w:tc>
          <w:tcPr>
            <w:tcW w:w="2514" w:type="dxa"/>
          </w:tcPr>
          <w:p w:rsidR="008510C1" w:rsidRDefault="009F3EF9" w:rsidP="009F3EF9">
            <w:pPr>
              <w:tabs>
                <w:tab w:val="left" w:pos="709"/>
              </w:tabs>
              <w:spacing w:after="120" w:line="240" w:lineRule="auto"/>
              <w:contextualSpacing/>
              <w:rPr>
                <w:rFonts w:ascii="Calibri" w:eastAsia="Times New Roman" w:hAnsi="Calibri" w:cs="Arial"/>
                <w:szCs w:val="18"/>
                <w:lang w:eastAsia="fr-BE"/>
              </w:rPr>
            </w:pPr>
            <w:r w:rsidRPr="009F3EF9">
              <w:rPr>
                <w:rFonts w:ascii="Calibri" w:eastAsia="Times New Roman" w:hAnsi="Calibri" w:cs="Arial"/>
                <w:szCs w:val="18"/>
                <w:lang w:eastAsia="fr-BE"/>
              </w:rPr>
              <w:t xml:space="preserve">Does the AIF make substantial use of leverage (&gt;300%) </w:t>
            </w:r>
          </w:p>
          <w:p w:rsidR="009F3EF9" w:rsidRDefault="009F3EF9" w:rsidP="009F3EF9">
            <w:pPr>
              <w:tabs>
                <w:tab w:val="left" w:pos="709"/>
              </w:tabs>
              <w:spacing w:after="120" w:line="240" w:lineRule="auto"/>
              <w:contextualSpacing/>
              <w:rPr>
                <w:rFonts w:ascii="Calibri" w:eastAsia="Times New Roman" w:hAnsi="Calibri" w:cs="Times New Roman"/>
                <w:lang w:eastAsia="fr-BE"/>
              </w:rPr>
            </w:pPr>
            <w:r w:rsidRPr="009F3EF9">
              <w:rPr>
                <w:rFonts w:ascii="Calibri" w:eastAsia="Times New Roman" w:hAnsi="Calibri" w:cs="Arial"/>
                <w:szCs w:val="18"/>
                <w:lang w:eastAsia="fr-BE"/>
              </w:rPr>
              <w:t>(YES or NO)</w:t>
            </w:r>
          </w:p>
        </w:tc>
        <w:tc>
          <w:tcPr>
            <w:tcW w:w="2514" w:type="dxa"/>
          </w:tcPr>
          <w:p w:rsidR="009F3EF9" w:rsidRPr="009F3EF9" w:rsidRDefault="009F3EF9" w:rsidP="008510C1">
            <w:pPr>
              <w:pStyle w:val="CM1"/>
              <w:rPr>
                <w:rFonts w:ascii="Calibri" w:eastAsia="Times New Roman" w:hAnsi="Calibri" w:cs="Arial"/>
                <w:sz w:val="22"/>
                <w:szCs w:val="18"/>
                <w:lang w:val="en-GB" w:eastAsia="fr-BE"/>
              </w:rPr>
            </w:pPr>
            <w:r w:rsidRPr="009F3EF9">
              <w:rPr>
                <w:rFonts w:ascii="Calibri" w:eastAsia="Times New Roman" w:hAnsi="Calibri" w:cs="Arial"/>
                <w:sz w:val="22"/>
                <w:szCs w:val="18"/>
                <w:lang w:val="en-GB" w:eastAsia="fr-BE"/>
              </w:rPr>
              <w:t xml:space="preserve">Is the AIF an unleveraged </w:t>
            </w:r>
            <w:proofErr w:type="gramStart"/>
            <w:r w:rsidRPr="009F3EF9">
              <w:rPr>
                <w:rFonts w:ascii="Calibri" w:eastAsia="Times New Roman" w:hAnsi="Calibri" w:cs="Arial"/>
                <w:sz w:val="22"/>
                <w:szCs w:val="18"/>
                <w:lang w:val="en-GB" w:eastAsia="fr-BE"/>
              </w:rPr>
              <w:t>AIF which</w:t>
            </w:r>
            <w:proofErr w:type="gramEnd"/>
            <w:r w:rsidRPr="009F3EF9">
              <w:rPr>
                <w:rFonts w:ascii="Calibri" w:eastAsia="Times New Roman" w:hAnsi="Calibri" w:cs="Arial"/>
                <w:sz w:val="22"/>
                <w:szCs w:val="18"/>
                <w:lang w:val="en-GB" w:eastAsia="fr-BE"/>
              </w:rPr>
              <w:t xml:space="preserve">, in accordance with its core investment policy, invests in non-listed companies and issuers in order to acquire control? </w:t>
            </w:r>
          </w:p>
          <w:p w:rsidR="009F3EF9" w:rsidRDefault="009F3EF9" w:rsidP="009F3EF9">
            <w:pPr>
              <w:tabs>
                <w:tab w:val="left" w:pos="709"/>
              </w:tabs>
              <w:spacing w:after="120" w:line="240" w:lineRule="auto"/>
              <w:contextualSpacing/>
              <w:rPr>
                <w:rFonts w:ascii="Calibri" w:eastAsia="Times New Roman" w:hAnsi="Calibri" w:cs="Times New Roman"/>
                <w:lang w:eastAsia="fr-BE"/>
              </w:rPr>
            </w:pPr>
            <w:r w:rsidRPr="009F3EF9">
              <w:rPr>
                <w:rFonts w:ascii="Calibri" w:eastAsia="Times New Roman" w:hAnsi="Calibri" w:cs="Arial"/>
                <w:szCs w:val="18"/>
                <w:lang w:eastAsia="fr-BE"/>
              </w:rPr>
              <w:t>(YES or NO)</w:t>
            </w:r>
          </w:p>
        </w:tc>
      </w:tr>
      <w:tr w:rsidR="009F3EF9" w:rsidTr="009F3EF9">
        <w:tc>
          <w:tcPr>
            <w:tcW w:w="2513"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c>
          <w:tcPr>
            <w:tcW w:w="2513"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c>
          <w:tcPr>
            <w:tcW w:w="2514"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c>
          <w:tcPr>
            <w:tcW w:w="2514"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r>
      <w:tr w:rsidR="009F3EF9" w:rsidTr="009F3EF9">
        <w:tc>
          <w:tcPr>
            <w:tcW w:w="2513"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c>
          <w:tcPr>
            <w:tcW w:w="2513"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c>
          <w:tcPr>
            <w:tcW w:w="2514"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c>
          <w:tcPr>
            <w:tcW w:w="2514"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r>
      <w:tr w:rsidR="009F3EF9" w:rsidTr="009F3EF9">
        <w:tc>
          <w:tcPr>
            <w:tcW w:w="2513"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c>
          <w:tcPr>
            <w:tcW w:w="2513"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c>
          <w:tcPr>
            <w:tcW w:w="2514"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c>
          <w:tcPr>
            <w:tcW w:w="2514" w:type="dxa"/>
          </w:tcPr>
          <w:p w:rsidR="009F3EF9" w:rsidRDefault="009F3EF9" w:rsidP="008B051A">
            <w:pPr>
              <w:tabs>
                <w:tab w:val="left" w:pos="709"/>
              </w:tabs>
              <w:spacing w:after="120" w:line="240" w:lineRule="auto"/>
              <w:contextualSpacing/>
              <w:rPr>
                <w:rFonts w:ascii="Calibri" w:eastAsia="Times New Roman" w:hAnsi="Calibri" w:cs="Times New Roman"/>
                <w:lang w:eastAsia="fr-BE"/>
              </w:rPr>
            </w:pPr>
          </w:p>
        </w:tc>
      </w:tr>
    </w:tbl>
    <w:p w:rsidR="00EF28C7" w:rsidRPr="00280E10" w:rsidRDefault="00D601F3" w:rsidP="008510C1">
      <w:pPr>
        <w:pStyle w:val="NormalWeb"/>
        <w:spacing w:before="240"/>
        <w:rPr>
          <w:rFonts w:asciiTheme="minorHAnsi" w:hAnsiTheme="minorHAnsi" w:cs="Arial"/>
          <w:color w:val="333333"/>
          <w:sz w:val="22"/>
          <w:szCs w:val="22"/>
          <w:lang w:val="en-US"/>
        </w:rPr>
      </w:pPr>
      <w:proofErr w:type="gramStart"/>
      <w:r w:rsidRPr="00D601F3">
        <w:rPr>
          <w:rFonts w:asciiTheme="minorHAnsi" w:eastAsia="Times New Roman" w:hAnsiTheme="minorHAnsi"/>
          <w:sz w:val="22"/>
          <w:szCs w:val="22"/>
          <w:lang w:val="en-US"/>
        </w:rPr>
        <w:t>5.</w:t>
      </w:r>
      <w:r>
        <w:rPr>
          <w:rFonts w:asciiTheme="minorHAnsi" w:eastAsia="Times New Roman" w:hAnsiTheme="minorHAnsi"/>
          <w:sz w:val="22"/>
          <w:szCs w:val="22"/>
          <w:lang w:val="en-US"/>
        </w:rPr>
        <w:t>2.3</w:t>
      </w:r>
      <w:r w:rsidR="00EF28C7" w:rsidRPr="00280E10">
        <w:rPr>
          <w:rFonts w:asciiTheme="minorHAnsi" w:eastAsia="Times New Roman" w:hAnsiTheme="minorHAnsi"/>
          <w:sz w:val="22"/>
          <w:szCs w:val="22"/>
          <w:lang w:val="en-US"/>
        </w:rPr>
        <w:t xml:space="preserve"> </w:t>
      </w:r>
      <w:r>
        <w:rPr>
          <w:rFonts w:asciiTheme="minorHAnsi" w:hAnsiTheme="minorHAnsi" w:cs="Arial"/>
          <w:color w:val="333333"/>
          <w:sz w:val="22"/>
          <w:szCs w:val="22"/>
          <w:lang w:val="en-US"/>
        </w:rPr>
        <w:t>Please</w:t>
      </w:r>
      <w:proofErr w:type="gramEnd"/>
      <w:r w:rsidR="00EF28C7" w:rsidRPr="00280E10">
        <w:rPr>
          <w:rFonts w:asciiTheme="minorHAnsi" w:hAnsiTheme="minorHAnsi" w:cs="Arial"/>
          <w:color w:val="333333"/>
          <w:sz w:val="22"/>
          <w:szCs w:val="22"/>
          <w:lang w:val="en-US"/>
        </w:rPr>
        <w:t xml:space="preserve"> </w:t>
      </w:r>
      <w:r w:rsidR="00AF36F2">
        <w:rPr>
          <w:rFonts w:asciiTheme="minorHAnsi" w:hAnsiTheme="minorHAnsi" w:cs="Arial"/>
          <w:color w:val="333333"/>
          <w:sz w:val="22"/>
          <w:szCs w:val="22"/>
          <w:lang w:val="en-US"/>
        </w:rPr>
        <w:t>indicate if you wish to send the reporting:</w:t>
      </w:r>
    </w:p>
    <w:p w:rsidR="00EF28C7" w:rsidRPr="00280E10" w:rsidRDefault="00770354" w:rsidP="008510C1">
      <w:pPr>
        <w:pStyle w:val="NormalWeb"/>
        <w:spacing w:before="120"/>
        <w:ind w:left="426" w:hanging="426"/>
        <w:rPr>
          <w:rFonts w:asciiTheme="minorHAnsi" w:hAnsiTheme="minorHAnsi" w:cs="Arial"/>
          <w:color w:val="333333"/>
          <w:sz w:val="22"/>
          <w:szCs w:val="22"/>
          <w:lang w:val="en-US"/>
        </w:rPr>
      </w:pPr>
      <w:sdt>
        <w:sdtPr>
          <w:rPr>
            <w:rFonts w:asciiTheme="minorHAnsi" w:hAnsiTheme="minorHAnsi" w:cs="Arial"/>
            <w:color w:val="333333"/>
            <w:sz w:val="22"/>
            <w:szCs w:val="22"/>
            <w:lang w:val="en-US"/>
          </w:rPr>
          <w:id w:val="1222407417"/>
          <w14:checkbox>
            <w14:checked w14:val="0"/>
            <w14:checkedState w14:val="2612" w14:font="MS Gothic"/>
            <w14:uncheckedState w14:val="2610" w14:font="MS Gothic"/>
          </w14:checkbox>
        </w:sdtPr>
        <w:sdtEndPr/>
        <w:sdtContent>
          <w:r w:rsidR="00EF28C7" w:rsidRPr="00280E10">
            <w:rPr>
              <w:rFonts w:ascii="Segoe UI Symbol" w:eastAsia="MS Gothic" w:hAnsi="Segoe UI Symbol" w:cs="Segoe UI Symbol"/>
              <w:color w:val="333333"/>
              <w:sz w:val="22"/>
              <w:szCs w:val="22"/>
              <w:lang w:val="en-US"/>
            </w:rPr>
            <w:t>☐</w:t>
          </w:r>
        </w:sdtContent>
      </w:sdt>
      <w:r w:rsidR="00EF28C7" w:rsidRPr="00280E10">
        <w:rPr>
          <w:rFonts w:asciiTheme="minorHAnsi" w:hAnsiTheme="minorHAnsi" w:cs="Arial"/>
          <w:color w:val="333333"/>
          <w:sz w:val="22"/>
          <w:szCs w:val="22"/>
          <w:lang w:val="en-US"/>
        </w:rPr>
        <w:t xml:space="preserve"> </w:t>
      </w:r>
      <w:r w:rsidR="008510C1">
        <w:rPr>
          <w:rFonts w:asciiTheme="minorHAnsi" w:hAnsiTheme="minorHAnsi" w:cs="Arial"/>
          <w:color w:val="333333"/>
          <w:sz w:val="22"/>
          <w:szCs w:val="22"/>
          <w:lang w:val="en-US"/>
        </w:rPr>
        <w:tab/>
      </w:r>
      <w:proofErr w:type="gramStart"/>
      <w:r w:rsidR="00AF36F2">
        <w:rPr>
          <w:rFonts w:asciiTheme="minorHAnsi" w:hAnsiTheme="minorHAnsi" w:cs="Arial"/>
          <w:color w:val="333333"/>
          <w:sz w:val="22"/>
          <w:szCs w:val="22"/>
          <w:lang w:val="en-US"/>
        </w:rPr>
        <w:t>by</w:t>
      </w:r>
      <w:proofErr w:type="gramEnd"/>
      <w:r w:rsidR="00AF36F2">
        <w:rPr>
          <w:rFonts w:asciiTheme="minorHAnsi" w:hAnsiTheme="minorHAnsi" w:cs="Arial"/>
          <w:color w:val="333333"/>
          <w:sz w:val="22"/>
          <w:szCs w:val="22"/>
          <w:lang w:val="en-US"/>
        </w:rPr>
        <w:t xml:space="preserve"> encoding (m</w:t>
      </w:r>
      <w:r w:rsidR="00B574CB" w:rsidRPr="00B574CB">
        <w:rPr>
          <w:rFonts w:asciiTheme="minorHAnsi" w:hAnsiTheme="minorHAnsi" w:cs="Arial"/>
          <w:color w:val="333333"/>
          <w:sz w:val="22"/>
          <w:szCs w:val="22"/>
          <w:lang w:val="en-US"/>
        </w:rPr>
        <w:t>anual</w:t>
      </w:r>
      <w:r w:rsidR="00EF28C7" w:rsidRPr="00280E10">
        <w:rPr>
          <w:rFonts w:asciiTheme="minorHAnsi" w:hAnsiTheme="minorHAnsi" w:cs="Arial"/>
          <w:color w:val="333333"/>
          <w:sz w:val="22"/>
          <w:szCs w:val="22"/>
          <w:lang w:val="en-US"/>
        </w:rPr>
        <w:t xml:space="preserve"> data entry</w:t>
      </w:r>
      <w:r w:rsidR="00AF36F2">
        <w:rPr>
          <w:rFonts w:asciiTheme="minorHAnsi" w:hAnsiTheme="minorHAnsi" w:cs="Arial"/>
          <w:color w:val="333333"/>
          <w:sz w:val="22"/>
          <w:szCs w:val="22"/>
          <w:lang w:val="en-US"/>
        </w:rPr>
        <w:t>)</w:t>
      </w:r>
      <w:r w:rsidR="00EF28C7" w:rsidRPr="00280E10">
        <w:rPr>
          <w:rFonts w:asciiTheme="minorHAnsi" w:hAnsiTheme="minorHAnsi" w:cs="Arial"/>
          <w:color w:val="333333"/>
          <w:sz w:val="22"/>
          <w:szCs w:val="22"/>
          <w:lang w:val="en-US"/>
        </w:rPr>
        <w:t xml:space="preserve">; or </w:t>
      </w:r>
    </w:p>
    <w:p w:rsidR="00405155" w:rsidRDefault="00770354" w:rsidP="008510C1">
      <w:pPr>
        <w:pStyle w:val="NormalWeb"/>
        <w:spacing w:before="120"/>
        <w:ind w:left="426" w:hanging="426"/>
        <w:rPr>
          <w:rFonts w:asciiTheme="minorHAnsi" w:hAnsiTheme="minorHAnsi" w:cs="Arial"/>
          <w:color w:val="333333"/>
          <w:sz w:val="22"/>
          <w:szCs w:val="22"/>
          <w:lang w:val="en-US"/>
        </w:rPr>
      </w:pPr>
      <w:sdt>
        <w:sdtPr>
          <w:rPr>
            <w:rFonts w:asciiTheme="minorHAnsi" w:hAnsiTheme="minorHAnsi" w:cs="Arial"/>
            <w:color w:val="333333"/>
            <w:sz w:val="22"/>
            <w:szCs w:val="22"/>
            <w:lang w:val="en-US"/>
          </w:rPr>
          <w:id w:val="837354852"/>
          <w14:checkbox>
            <w14:checked w14:val="0"/>
            <w14:checkedState w14:val="2612" w14:font="MS Gothic"/>
            <w14:uncheckedState w14:val="2610" w14:font="MS Gothic"/>
          </w14:checkbox>
        </w:sdtPr>
        <w:sdtEndPr/>
        <w:sdtContent>
          <w:r w:rsidR="00EF28C7" w:rsidRPr="007E11B5">
            <w:rPr>
              <w:rFonts w:ascii="Segoe UI Symbol" w:eastAsia="MS Gothic" w:hAnsi="Segoe UI Symbol" w:cs="Segoe UI Symbol"/>
              <w:color w:val="333333"/>
              <w:sz w:val="22"/>
              <w:szCs w:val="22"/>
              <w:lang w:val="en-US"/>
            </w:rPr>
            <w:t>☐</w:t>
          </w:r>
        </w:sdtContent>
      </w:sdt>
      <w:r w:rsidR="00EF28C7" w:rsidRPr="007E11B5">
        <w:rPr>
          <w:rFonts w:asciiTheme="minorHAnsi" w:hAnsiTheme="minorHAnsi" w:cs="Arial"/>
          <w:color w:val="333333"/>
          <w:sz w:val="22"/>
          <w:szCs w:val="22"/>
          <w:lang w:val="en-US"/>
        </w:rPr>
        <w:t xml:space="preserve"> </w:t>
      </w:r>
      <w:r w:rsidR="008510C1">
        <w:rPr>
          <w:rFonts w:asciiTheme="minorHAnsi" w:hAnsiTheme="minorHAnsi" w:cs="Arial"/>
          <w:color w:val="333333"/>
          <w:sz w:val="22"/>
          <w:szCs w:val="22"/>
          <w:lang w:val="en-US"/>
        </w:rPr>
        <w:tab/>
      </w:r>
      <w:proofErr w:type="gramStart"/>
      <w:r w:rsidR="00AF36F2">
        <w:rPr>
          <w:rFonts w:asciiTheme="minorHAnsi" w:hAnsiTheme="minorHAnsi" w:cs="Arial"/>
          <w:color w:val="333333"/>
          <w:sz w:val="22"/>
          <w:szCs w:val="22"/>
          <w:lang w:val="en-US"/>
        </w:rPr>
        <w:t>by</w:t>
      </w:r>
      <w:proofErr w:type="gramEnd"/>
      <w:r w:rsidR="00AF36F2">
        <w:rPr>
          <w:rFonts w:asciiTheme="minorHAnsi" w:hAnsiTheme="minorHAnsi" w:cs="Arial"/>
          <w:color w:val="333333"/>
          <w:sz w:val="22"/>
          <w:szCs w:val="22"/>
          <w:lang w:val="en-US"/>
        </w:rPr>
        <w:t xml:space="preserve"> </w:t>
      </w:r>
      <w:r w:rsidR="00F95054">
        <w:rPr>
          <w:rFonts w:asciiTheme="minorHAnsi" w:hAnsiTheme="minorHAnsi" w:cs="Arial"/>
          <w:color w:val="333333"/>
          <w:sz w:val="22"/>
          <w:szCs w:val="22"/>
          <w:lang w:val="en-US"/>
        </w:rPr>
        <w:t>upload</w:t>
      </w:r>
      <w:r w:rsidR="006A6BD7">
        <w:rPr>
          <w:rFonts w:asciiTheme="minorHAnsi" w:hAnsiTheme="minorHAnsi" w:cs="Arial"/>
          <w:color w:val="333333"/>
          <w:sz w:val="22"/>
          <w:szCs w:val="22"/>
          <w:lang w:val="en-US"/>
        </w:rPr>
        <w:t>ing</w:t>
      </w:r>
      <w:r w:rsidR="00F95054">
        <w:rPr>
          <w:rFonts w:asciiTheme="minorHAnsi" w:hAnsiTheme="minorHAnsi" w:cs="Arial"/>
          <w:color w:val="333333"/>
          <w:sz w:val="22"/>
          <w:szCs w:val="22"/>
          <w:lang w:val="en-US"/>
        </w:rPr>
        <w:t xml:space="preserve"> a </w:t>
      </w:r>
      <w:r w:rsidR="00116E7B" w:rsidRPr="00116E7B">
        <w:rPr>
          <w:rFonts w:asciiTheme="minorHAnsi" w:hAnsiTheme="minorHAnsi" w:cs="Arial"/>
          <w:color w:val="333333"/>
          <w:sz w:val="22"/>
          <w:szCs w:val="22"/>
          <w:lang w:val="en-US"/>
        </w:rPr>
        <w:t>XML file</w:t>
      </w:r>
      <w:r w:rsidR="00116E7B">
        <w:rPr>
          <w:rFonts w:asciiTheme="minorHAnsi" w:hAnsiTheme="minorHAnsi" w:cs="Arial"/>
          <w:color w:val="333333"/>
          <w:sz w:val="22"/>
          <w:szCs w:val="22"/>
          <w:lang w:val="en-US"/>
        </w:rPr>
        <w:t>.</w:t>
      </w:r>
    </w:p>
    <w:p w:rsidR="00E86EB8" w:rsidRDefault="00E86EB8" w:rsidP="008510C1">
      <w:pPr>
        <w:pStyle w:val="NormalWeb"/>
        <w:spacing w:before="120"/>
        <w:ind w:left="426" w:hanging="426"/>
        <w:rPr>
          <w:rFonts w:asciiTheme="minorHAnsi" w:hAnsiTheme="minorHAnsi" w:cs="Arial"/>
          <w:color w:val="333333"/>
          <w:sz w:val="22"/>
          <w:szCs w:val="22"/>
          <w:lang w:val="en-US"/>
        </w:rPr>
        <w:sectPr w:rsidR="00E86EB8" w:rsidSect="008623E4">
          <w:pgSz w:w="11906" w:h="16838" w:code="9"/>
          <w:pgMar w:top="2495" w:right="991" w:bottom="1418" w:left="851" w:header="1531" w:footer="680" w:gutter="0"/>
          <w:cols w:space="708"/>
          <w:titlePg/>
          <w:docGrid w:linePitch="360"/>
        </w:sectPr>
      </w:pPr>
    </w:p>
    <w:p w:rsidR="00580FAF" w:rsidRPr="00580FAF" w:rsidRDefault="00580FAF" w:rsidP="00F2413E">
      <w:pPr>
        <w:keepNext/>
        <w:keepLines/>
        <w:pBdr>
          <w:top w:val="single" w:sz="12" w:space="1" w:color="33444C"/>
          <w:bottom w:val="single" w:sz="12" w:space="1" w:color="33444C"/>
        </w:pBdr>
        <w:shd w:val="clear" w:color="auto" w:fill="E0E7EA"/>
        <w:spacing w:before="480" w:after="0" w:line="240" w:lineRule="auto"/>
        <w:ind w:left="431" w:right="142" w:hanging="431"/>
        <w:outlineLvl w:val="0"/>
        <w:rPr>
          <w:rFonts w:ascii="Calibri" w:eastAsia="Times New Roman" w:hAnsi="Calibri" w:cs="Times New Roman"/>
          <w:b/>
          <w:bCs/>
          <w:color w:val="4C6572"/>
          <w:sz w:val="24"/>
          <w:szCs w:val="24"/>
          <w:lang w:eastAsia="fr-BE"/>
        </w:rPr>
      </w:pPr>
      <w:r w:rsidRPr="00580FAF">
        <w:rPr>
          <w:rFonts w:ascii="Calibri" w:eastAsia="Times New Roman" w:hAnsi="Calibri" w:cs="Times New Roman"/>
          <w:b/>
          <w:bCs/>
          <w:color w:val="4C6572"/>
          <w:sz w:val="24"/>
          <w:szCs w:val="24"/>
          <w:lang w:eastAsia="fr-BE"/>
        </w:rPr>
        <w:lastRenderedPageBreak/>
        <w:t xml:space="preserve">Annex </w:t>
      </w:r>
      <w:proofErr w:type="gramStart"/>
      <w:r w:rsidRPr="00580FAF">
        <w:rPr>
          <w:rFonts w:ascii="Calibri" w:eastAsia="Times New Roman" w:hAnsi="Calibri" w:cs="Times New Roman"/>
          <w:b/>
          <w:bCs/>
          <w:color w:val="4C6572"/>
          <w:sz w:val="24"/>
          <w:szCs w:val="24"/>
          <w:lang w:eastAsia="fr-BE"/>
        </w:rPr>
        <w:t>1</w:t>
      </w:r>
      <w:proofErr w:type="gramEnd"/>
      <w:r w:rsidRPr="00580FAF">
        <w:rPr>
          <w:rFonts w:ascii="Calibri" w:eastAsia="Times New Roman" w:hAnsi="Calibri" w:cs="Times New Roman"/>
          <w:b/>
          <w:bCs/>
          <w:color w:val="4C6572"/>
          <w:sz w:val="24"/>
          <w:szCs w:val="24"/>
          <w:lang w:eastAsia="fr-BE"/>
        </w:rPr>
        <w:t xml:space="preserve"> </w:t>
      </w:r>
      <w:r w:rsidR="008154E8">
        <w:rPr>
          <w:rFonts w:ascii="Calibri" w:eastAsia="Times New Roman" w:hAnsi="Calibri" w:cs="Times New Roman"/>
          <w:b/>
          <w:bCs/>
          <w:color w:val="4C6572"/>
          <w:sz w:val="24"/>
          <w:szCs w:val="24"/>
          <w:lang w:eastAsia="fr-BE"/>
        </w:rPr>
        <w:t xml:space="preserve">- </w:t>
      </w:r>
      <w:r w:rsidRPr="00580FAF">
        <w:rPr>
          <w:rFonts w:ascii="Calibri" w:eastAsia="Times New Roman" w:hAnsi="Calibri" w:cs="Times New Roman"/>
          <w:b/>
          <w:bCs/>
          <w:color w:val="4C6572"/>
          <w:sz w:val="24"/>
          <w:szCs w:val="24"/>
          <w:lang w:eastAsia="fr-BE"/>
        </w:rPr>
        <w:t>Specific information regarding each AIF to be marketed</w:t>
      </w:r>
    </w:p>
    <w:p w:rsidR="00580FAF" w:rsidRPr="00580FAF" w:rsidRDefault="00580FAF" w:rsidP="00F2413E">
      <w:pPr>
        <w:spacing w:before="240" w:after="240" w:line="240" w:lineRule="auto"/>
        <w:rPr>
          <w:rFonts w:ascii="Calibri" w:eastAsia="Times New Roman" w:hAnsi="Calibri" w:cs="Times New Roman"/>
          <w:lang w:eastAsia="fr-BE"/>
        </w:rPr>
      </w:pPr>
      <w:r w:rsidRPr="00580FAF">
        <w:rPr>
          <w:rFonts w:ascii="Calibri" w:eastAsia="Times New Roman" w:hAnsi="Calibri" w:cs="Times New Roman"/>
          <w:lang w:eastAsia="fr-BE"/>
        </w:rPr>
        <w:t xml:space="preserve">Please specify for each element where it </w:t>
      </w:r>
      <w:proofErr w:type="gramStart"/>
      <w:r w:rsidRPr="00580FAF">
        <w:rPr>
          <w:rFonts w:ascii="Calibri" w:eastAsia="Times New Roman" w:hAnsi="Calibri" w:cs="Times New Roman"/>
          <w:lang w:eastAsia="fr-BE"/>
        </w:rPr>
        <w:t>can be found</w:t>
      </w:r>
      <w:proofErr w:type="gramEnd"/>
      <w:r w:rsidRPr="00580FAF">
        <w:rPr>
          <w:rFonts w:ascii="Calibri" w:eastAsia="Times New Roman" w:hAnsi="Calibri" w:cs="Times New Roman"/>
          <w:lang w:eastAsia="fr-BE"/>
        </w:rPr>
        <w:t xml:space="preserve"> in the attached documents (document and page).</w:t>
      </w:r>
    </w:p>
    <w:tbl>
      <w:tblPr>
        <w:tblStyle w:val="TableGrid1"/>
        <w:tblW w:w="9805" w:type="dxa"/>
        <w:tblInd w:w="113" w:type="dxa"/>
        <w:tblLayout w:type="fixed"/>
        <w:tblLook w:val="04A0" w:firstRow="1" w:lastRow="0" w:firstColumn="1" w:lastColumn="0" w:noHBand="0" w:noVBand="1"/>
      </w:tblPr>
      <w:tblGrid>
        <w:gridCol w:w="7395"/>
        <w:gridCol w:w="2410"/>
      </w:tblGrid>
      <w:tr w:rsidR="00580FAF" w:rsidRPr="00580FAF" w:rsidTr="00FA4D8E">
        <w:tc>
          <w:tcPr>
            <w:tcW w:w="7395" w:type="dxa"/>
          </w:tcPr>
          <w:p w:rsidR="00580FAF" w:rsidRPr="00580FAF" w:rsidRDefault="00580FAF" w:rsidP="00580FAF">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580FAF">
              <w:rPr>
                <w:rFonts w:ascii="Calibri" w:hAnsi="Calibri" w:cs="Arial"/>
                <w:b/>
                <w:color w:val="000000"/>
                <w:sz w:val="20"/>
                <w:szCs w:val="20"/>
                <w:lang w:eastAsia="fr-BE"/>
              </w:rPr>
              <w:t>Information (Art. 23 AIFMD)</w:t>
            </w:r>
          </w:p>
        </w:tc>
        <w:tc>
          <w:tcPr>
            <w:tcW w:w="2410" w:type="dxa"/>
          </w:tcPr>
          <w:p w:rsidR="00580FAF" w:rsidRPr="00580FAF" w:rsidRDefault="00580FAF" w:rsidP="00580FAF">
            <w:pPr>
              <w:overflowPunct w:val="0"/>
              <w:autoSpaceDE w:val="0"/>
              <w:autoSpaceDN w:val="0"/>
              <w:adjustRightInd w:val="0"/>
              <w:spacing w:after="120" w:line="240" w:lineRule="auto"/>
              <w:textAlignment w:val="baseline"/>
              <w:rPr>
                <w:rFonts w:ascii="Calibri" w:hAnsi="Calibri" w:cs="Arial"/>
                <w:b/>
                <w:sz w:val="20"/>
                <w:szCs w:val="20"/>
                <w:lang w:eastAsia="fr-BE"/>
              </w:rPr>
            </w:pPr>
            <w:r w:rsidRPr="00580FAF">
              <w:rPr>
                <w:rFonts w:ascii="Calibri" w:hAnsi="Calibri" w:cs="Arial"/>
                <w:b/>
                <w:sz w:val="20"/>
                <w:szCs w:val="20"/>
                <w:lang w:eastAsia="fr-BE"/>
              </w:rPr>
              <w:t>Document and page</w:t>
            </w: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BE"/>
              </w:rPr>
            </w:pPr>
            <w:r w:rsidRPr="00580FAF">
              <w:rPr>
                <w:rFonts w:ascii="Calibri" w:hAnsi="Calibri" w:cs="Arial"/>
                <w:color w:val="000000"/>
                <w:sz w:val="18"/>
                <w:szCs w:val="18"/>
                <w:lang w:eastAsia="fr-BE"/>
              </w:rPr>
              <w:t xml:space="preserve">a)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a description of the investment strategy and objectives of the AIF</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textAlignment w:val="baseline"/>
              <w:rPr>
                <w:rFonts w:ascii="Calibri" w:hAnsi="Calibri" w:cs="Arial"/>
                <w:color w:val="000000"/>
                <w:sz w:val="18"/>
                <w:szCs w:val="18"/>
                <w:lang w:eastAsia="fr-BE"/>
              </w:rPr>
            </w:pPr>
            <w:r w:rsidRPr="00580FAF">
              <w:rPr>
                <w:rFonts w:ascii="Calibri" w:hAnsi="Calibri" w:cs="Arial"/>
                <w:color w:val="000000"/>
                <w:sz w:val="18"/>
                <w:szCs w:val="18"/>
                <w:lang w:eastAsia="fr-BE"/>
              </w:rPr>
              <w:t>information on where any master AIF is established and where the underlying funds are established if the AIF is a fund of funds</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b)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 xml:space="preserve">a description of the procedures by which the AIF may change its investment strategy or investment policy, or both;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c)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 xml:space="preserve">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autoSpaceDE w:val="0"/>
              <w:autoSpaceDN w:val="0"/>
              <w:adjustRightInd w:val="0"/>
              <w:spacing w:after="0" w:line="240" w:lineRule="atLeast"/>
              <w:ind w:left="284" w:hanging="284"/>
              <w:jc w:val="both"/>
              <w:rPr>
                <w:rFonts w:ascii="Calibri" w:hAnsi="Calibri" w:cs="Arial"/>
                <w:color w:val="000000"/>
                <w:sz w:val="18"/>
                <w:szCs w:val="18"/>
                <w:lang w:eastAsia="fr-FR"/>
              </w:rPr>
            </w:pPr>
            <w:r w:rsidRPr="00580FAF">
              <w:rPr>
                <w:rFonts w:ascii="Calibri" w:hAnsi="Calibri" w:cs="Arial"/>
                <w:color w:val="000000"/>
                <w:sz w:val="18"/>
                <w:szCs w:val="18"/>
                <w:lang w:eastAsia="fr-FR"/>
              </w:rPr>
              <w:t xml:space="preserve">d) </w:t>
            </w:r>
            <w:r w:rsidR="008A23DB">
              <w:rPr>
                <w:rFonts w:ascii="Calibri" w:hAnsi="Calibri" w:cs="Arial"/>
                <w:color w:val="000000"/>
                <w:sz w:val="18"/>
                <w:szCs w:val="18"/>
                <w:lang w:eastAsia="fr-FR"/>
              </w:rPr>
              <w:tab/>
            </w:r>
            <w:r w:rsidRPr="00580FAF">
              <w:rPr>
                <w:rFonts w:ascii="Calibri" w:hAnsi="Calibri" w:cs="Arial"/>
                <w:color w:val="000000"/>
                <w:sz w:val="18"/>
                <w:szCs w:val="18"/>
                <w:lang w:eastAsia="fr-FR"/>
              </w:rPr>
              <w:t xml:space="preserve">the identity of the AIFM, the AIF’s depositary, auditor and any other service providers and a description of their duties and the investors’ rights; </w:t>
            </w:r>
          </w:p>
        </w:tc>
        <w:tc>
          <w:tcPr>
            <w:tcW w:w="2410" w:type="dxa"/>
          </w:tcPr>
          <w:p w:rsidR="00580FAF" w:rsidRPr="00580FAF" w:rsidRDefault="00580FAF" w:rsidP="00580FAF">
            <w:pPr>
              <w:autoSpaceDE w:val="0"/>
              <w:autoSpaceDN w:val="0"/>
              <w:adjustRightInd w:val="0"/>
              <w:spacing w:after="0" w:line="240" w:lineRule="atLeast"/>
              <w:jc w:val="both"/>
              <w:rPr>
                <w:rFonts w:ascii="Calibri" w:hAnsi="Calibri" w:cs="Arial"/>
                <w:color w:val="000000"/>
                <w:sz w:val="18"/>
                <w:szCs w:val="18"/>
                <w:lang w:eastAsia="fr-FR"/>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e)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a description of how the AIFM is complying with the requirements of Article 9(7)</w:t>
            </w:r>
            <w:r w:rsidRPr="00580FAF">
              <w:rPr>
                <w:rFonts w:ascii="Calibri" w:hAnsi="Calibri" w:cs="Arial"/>
                <w:sz w:val="18"/>
                <w:szCs w:val="18"/>
                <w:lang w:eastAsia="fr-BE"/>
              </w:rPr>
              <w:t xml:space="preserve"> AIFMD</w:t>
            </w:r>
            <w:r w:rsidRPr="00580FAF">
              <w:rPr>
                <w:rFonts w:ascii="Calibri" w:hAnsi="Calibri" w:cs="Arial"/>
                <w:color w:val="000000"/>
                <w:sz w:val="18"/>
                <w:szCs w:val="18"/>
                <w:lang w:eastAsia="fr-BE"/>
              </w:rPr>
              <w:t xml:space="preserve">;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f)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a description of any delegated management function as referred to in Annex I by the AIFM and of any safe- keeping function delegated by the depositary, the identification of the delegate and any conflicts of interest that may arise from such delegations;</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g)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a description of the AIF’s valuation procedure and of the pricing methodology for valuing assets, including the methods used in valuing hard-to-value assets in accordance with Article 19</w:t>
            </w:r>
            <w:r w:rsidRPr="00580FAF">
              <w:rPr>
                <w:rFonts w:ascii="Calibri" w:hAnsi="Calibri" w:cs="Arial"/>
                <w:sz w:val="18"/>
                <w:szCs w:val="18"/>
                <w:lang w:eastAsia="fr-BE"/>
              </w:rPr>
              <w:t xml:space="preserve"> AIFMD</w:t>
            </w:r>
            <w:r w:rsidRPr="00580FAF">
              <w:rPr>
                <w:rFonts w:ascii="Calibri" w:hAnsi="Calibri" w:cs="Arial"/>
                <w:color w:val="000000"/>
                <w:sz w:val="18"/>
                <w:szCs w:val="18"/>
                <w:lang w:eastAsia="fr-BE"/>
              </w:rPr>
              <w:t xml:space="preserve">;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h)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 xml:space="preserve">a description of the AIF’s liquidity risk management, including the redemption rights both in normal and in exceptional circumstances, and the existing redemption arrangements with investors;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i)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 xml:space="preserve">a description of all fees, charges and expenses and of the maximum amounts thereof which are directly or indirectly borne by investors;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j)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 xml:space="preserve">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k)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 xml:space="preserve">the latest annual report referred to in Article 22 AIFMD;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l)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 xml:space="preserve">the procedure and conditions for the issue and sale of units or shares;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m)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the latest net asset value of the AIF or the latest market price of the unit or share of the AIF, in accordance with Article 19</w:t>
            </w:r>
            <w:r w:rsidRPr="00580FAF">
              <w:rPr>
                <w:rFonts w:ascii="Calibri" w:hAnsi="Calibri" w:cs="Arial"/>
                <w:sz w:val="18"/>
                <w:szCs w:val="18"/>
                <w:lang w:eastAsia="fr-BE"/>
              </w:rPr>
              <w:t xml:space="preserve"> AIFMD</w:t>
            </w:r>
            <w:r w:rsidRPr="00580FAF">
              <w:rPr>
                <w:rFonts w:ascii="Calibri" w:hAnsi="Calibri" w:cs="Arial"/>
                <w:color w:val="000000"/>
                <w:sz w:val="18"/>
                <w:szCs w:val="18"/>
                <w:lang w:eastAsia="fr-BE"/>
              </w:rPr>
              <w:t>;</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n)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where available, the historical performance of the AIF;</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o) </w:t>
            </w:r>
            <w:r w:rsidR="008A23DB">
              <w:rPr>
                <w:rFonts w:ascii="Calibri" w:hAnsi="Calibri" w:cs="Arial"/>
                <w:color w:val="000000"/>
                <w:sz w:val="18"/>
                <w:szCs w:val="18"/>
                <w:lang w:eastAsia="fr-BE"/>
              </w:rPr>
              <w:tab/>
            </w:r>
            <w:r w:rsidRPr="00580FAF">
              <w:rPr>
                <w:rFonts w:ascii="Calibri" w:hAnsi="Calibri" w:cs="Arial"/>
                <w:color w:val="000000"/>
                <w:sz w:val="18"/>
                <w:szCs w:val="18"/>
                <w:lang w:eastAsia="fr-BE"/>
              </w:rPr>
              <w:t xml:space="preserve">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580FAF" w:rsidRPr="00580FAF" w:rsidTr="00FA4D8E">
        <w:tc>
          <w:tcPr>
            <w:tcW w:w="7395" w:type="dxa"/>
          </w:tcPr>
          <w:p w:rsidR="00580FAF" w:rsidRPr="00580FAF" w:rsidRDefault="00580FAF" w:rsidP="008A23DB">
            <w:pPr>
              <w:overflowPunct w:val="0"/>
              <w:autoSpaceDE w:val="0"/>
              <w:autoSpaceDN w:val="0"/>
              <w:adjustRightInd w:val="0"/>
              <w:spacing w:after="0" w:line="240" w:lineRule="auto"/>
              <w:ind w:left="284" w:hanging="284"/>
              <w:textAlignment w:val="baseline"/>
              <w:rPr>
                <w:rFonts w:ascii="Calibri" w:hAnsi="Calibri" w:cs="Arial"/>
                <w:color w:val="000000"/>
                <w:sz w:val="18"/>
                <w:szCs w:val="18"/>
                <w:lang w:eastAsia="fr-FR"/>
              </w:rPr>
            </w:pPr>
            <w:r w:rsidRPr="00580FAF">
              <w:rPr>
                <w:rFonts w:ascii="Calibri" w:hAnsi="Calibri" w:cs="Arial"/>
                <w:color w:val="000000"/>
                <w:sz w:val="18"/>
                <w:szCs w:val="18"/>
                <w:lang w:eastAsia="fr-BE"/>
              </w:rPr>
              <w:t xml:space="preserve">p) </w:t>
            </w:r>
            <w:r w:rsidR="008A23DB">
              <w:rPr>
                <w:rFonts w:ascii="Calibri" w:hAnsi="Calibri" w:cs="Arial"/>
                <w:color w:val="000000"/>
                <w:sz w:val="18"/>
                <w:szCs w:val="18"/>
                <w:lang w:eastAsia="fr-BE"/>
              </w:rPr>
              <w:tab/>
            </w:r>
            <w:proofErr w:type="gramStart"/>
            <w:r w:rsidRPr="00580FAF">
              <w:rPr>
                <w:rFonts w:ascii="Calibri" w:hAnsi="Calibri" w:cs="Arial"/>
                <w:color w:val="000000"/>
                <w:sz w:val="18"/>
                <w:szCs w:val="18"/>
                <w:lang w:eastAsia="fr-BE"/>
              </w:rPr>
              <w:t>description</w:t>
            </w:r>
            <w:proofErr w:type="gramEnd"/>
            <w:r w:rsidRPr="00580FAF">
              <w:rPr>
                <w:rFonts w:ascii="Calibri" w:hAnsi="Calibri" w:cs="Arial"/>
                <w:color w:val="000000"/>
                <w:sz w:val="18"/>
                <w:szCs w:val="18"/>
                <w:lang w:eastAsia="fr-BE"/>
              </w:rPr>
              <w:t xml:space="preserve"> of how and when the information required under paragraphs 4 and 5 of Article 23 </w:t>
            </w:r>
            <w:r w:rsidRPr="00580FAF">
              <w:rPr>
                <w:rFonts w:ascii="Calibri" w:hAnsi="Calibri" w:cs="Arial"/>
                <w:sz w:val="18"/>
                <w:szCs w:val="18"/>
                <w:lang w:eastAsia="fr-BE"/>
              </w:rPr>
              <w:t>AIFMD</w:t>
            </w:r>
            <w:r w:rsidRPr="00580FAF">
              <w:rPr>
                <w:rFonts w:ascii="Calibri" w:hAnsi="Calibri" w:cs="Arial"/>
                <w:color w:val="000000"/>
                <w:sz w:val="18"/>
                <w:szCs w:val="18"/>
                <w:lang w:eastAsia="fr-BE"/>
              </w:rPr>
              <w:t xml:space="preserve"> will be disclosed.</w:t>
            </w:r>
          </w:p>
        </w:tc>
        <w:tc>
          <w:tcPr>
            <w:tcW w:w="2410" w:type="dxa"/>
          </w:tcPr>
          <w:p w:rsidR="00580FAF" w:rsidRPr="00580FAF" w:rsidRDefault="00580FAF" w:rsidP="00580FAF">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580FAF" w:rsidRPr="00580FAF" w:rsidRDefault="00580FAF" w:rsidP="00580FAF">
      <w:pPr>
        <w:spacing w:after="120" w:line="240" w:lineRule="auto"/>
        <w:rPr>
          <w:rFonts w:ascii="Calibri" w:eastAsia="Times New Roman" w:hAnsi="Calibri" w:cs="Times New Roman"/>
          <w:lang w:eastAsia="fr-BE"/>
        </w:rPr>
      </w:pPr>
    </w:p>
    <w:p w:rsidR="00580FAF" w:rsidRPr="00580FAF" w:rsidRDefault="00580FAF" w:rsidP="00580FAF">
      <w:pPr>
        <w:spacing w:after="120" w:line="240" w:lineRule="auto"/>
        <w:rPr>
          <w:rFonts w:ascii="Calibri" w:eastAsia="Times New Roman" w:hAnsi="Calibri" w:cs="Times New Roman"/>
          <w:color w:val="4C6572"/>
          <w:sz w:val="24"/>
          <w:szCs w:val="24"/>
          <w:lang w:eastAsia="fr-BE"/>
        </w:rPr>
      </w:pPr>
      <w:r w:rsidRPr="00580FAF">
        <w:rPr>
          <w:rFonts w:ascii="Calibri" w:eastAsia="Times New Roman" w:hAnsi="Calibri" w:cs="Times New Roman"/>
          <w:lang w:eastAsia="fr-BE"/>
        </w:rPr>
        <w:br w:type="page"/>
      </w:r>
    </w:p>
    <w:p w:rsidR="00580FAF" w:rsidRPr="00580FAF" w:rsidRDefault="008154E8" w:rsidP="00F2413E">
      <w:pPr>
        <w:keepNext/>
        <w:keepLines/>
        <w:pBdr>
          <w:top w:val="single" w:sz="12" w:space="1" w:color="33444C"/>
          <w:bottom w:val="single" w:sz="12" w:space="1" w:color="33444C"/>
        </w:pBdr>
        <w:shd w:val="clear" w:color="auto" w:fill="E0E7EA"/>
        <w:spacing w:before="480" w:after="0" w:line="240" w:lineRule="auto"/>
        <w:ind w:left="431" w:hanging="431"/>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lastRenderedPageBreak/>
        <w:t xml:space="preserve">Annex </w:t>
      </w:r>
      <w:proofErr w:type="gramStart"/>
      <w:r>
        <w:rPr>
          <w:rFonts w:ascii="Calibri" w:eastAsia="Times New Roman" w:hAnsi="Calibri" w:cs="Times New Roman"/>
          <w:b/>
          <w:bCs/>
          <w:color w:val="4C6572"/>
          <w:sz w:val="24"/>
          <w:szCs w:val="24"/>
          <w:lang w:eastAsia="fr-BE"/>
        </w:rPr>
        <w:t>2</w:t>
      </w:r>
      <w:proofErr w:type="gramEnd"/>
      <w:r>
        <w:rPr>
          <w:rFonts w:ascii="Calibri" w:eastAsia="Times New Roman" w:hAnsi="Calibri" w:cs="Times New Roman"/>
          <w:b/>
          <w:bCs/>
          <w:color w:val="4C6572"/>
          <w:sz w:val="24"/>
          <w:szCs w:val="24"/>
          <w:lang w:eastAsia="fr-BE"/>
        </w:rPr>
        <w:t xml:space="preserve"> -</w:t>
      </w:r>
      <w:r w:rsidR="00580FAF" w:rsidRPr="00580FAF">
        <w:rPr>
          <w:rFonts w:ascii="Calibri" w:eastAsia="Times New Roman" w:hAnsi="Calibri" w:cs="Times New Roman"/>
          <w:b/>
          <w:bCs/>
          <w:color w:val="4C6572"/>
          <w:sz w:val="24"/>
          <w:szCs w:val="24"/>
          <w:lang w:eastAsia="fr-BE"/>
        </w:rPr>
        <w:t xml:space="preserve"> Statement by the AIFM</w:t>
      </w:r>
    </w:p>
    <w:p w:rsidR="00580FAF" w:rsidRPr="00580FAF" w:rsidRDefault="00580FAF" w:rsidP="008154E8">
      <w:pPr>
        <w:tabs>
          <w:tab w:val="right" w:leader="dot" w:pos="10490"/>
        </w:tabs>
        <w:spacing w:before="480" w:after="0" w:line="240" w:lineRule="auto"/>
        <w:rPr>
          <w:rFonts w:ascii="Calibri" w:eastAsia="Times New Roman" w:hAnsi="Calibri" w:cs="Arial"/>
          <w:szCs w:val="18"/>
          <w:lang w:eastAsia="fr-BE"/>
        </w:rPr>
      </w:pPr>
      <w:r w:rsidRPr="00580FAF">
        <w:rPr>
          <w:rFonts w:ascii="Calibri" w:eastAsia="Times New Roman" w:hAnsi="Calibri" w:cs="Times New Roman"/>
          <w:lang w:eastAsia="fr-BE"/>
        </w:rPr>
        <w:t xml:space="preserve">I, </w:t>
      </w:r>
      <w:r w:rsidRPr="00580FAF">
        <w:rPr>
          <w:rFonts w:ascii="Calibri" w:eastAsia="Times New Roman" w:hAnsi="Calibri" w:cs="Times New Roman"/>
          <w:lang w:eastAsia="fr-BE"/>
        </w:rPr>
        <w:tab/>
      </w:r>
      <w:r w:rsidRPr="00580FAF">
        <w:rPr>
          <w:rFonts w:ascii="Calibri" w:eastAsia="Times New Roman" w:hAnsi="Calibri" w:cs="Arial"/>
          <w:szCs w:val="18"/>
          <w:lang w:eastAsia="fr-BE"/>
        </w:rPr>
        <w:t xml:space="preserve"> (full name and function in the AIFM), </w:t>
      </w:r>
    </w:p>
    <w:p w:rsidR="00580FAF" w:rsidRPr="00580FAF" w:rsidRDefault="00580FAF" w:rsidP="00580FAF">
      <w:pPr>
        <w:tabs>
          <w:tab w:val="right" w:leader="dot" w:pos="10490"/>
        </w:tabs>
        <w:spacing w:after="120" w:line="240" w:lineRule="auto"/>
        <w:contextualSpacing/>
        <w:rPr>
          <w:rFonts w:ascii="Calibri" w:eastAsia="Times New Roman" w:hAnsi="Calibri" w:cs="Times New Roman"/>
          <w:lang w:eastAsia="fr-BE"/>
        </w:rPr>
      </w:pPr>
      <w:proofErr w:type="gramStart"/>
      <w:r w:rsidRPr="00580FAF">
        <w:rPr>
          <w:rFonts w:ascii="Calibri" w:eastAsia="Times New Roman" w:hAnsi="Calibri" w:cs="Times New Roman"/>
          <w:lang w:eastAsia="fr-BE"/>
        </w:rPr>
        <w:t>duly</w:t>
      </w:r>
      <w:proofErr w:type="gramEnd"/>
      <w:r w:rsidRPr="00580FAF">
        <w:rPr>
          <w:rFonts w:ascii="Calibri" w:eastAsia="Times New Roman" w:hAnsi="Calibri" w:cs="Times New Roman"/>
          <w:lang w:eastAsia="fr-BE"/>
        </w:rPr>
        <w:t xml:space="preserve"> authorized representative of </w:t>
      </w:r>
      <w:r w:rsidRPr="00580FAF">
        <w:rPr>
          <w:rFonts w:ascii="Calibri" w:eastAsia="Times New Roman" w:hAnsi="Calibri" w:cs="Times New Roman"/>
          <w:lang w:eastAsia="fr-BE"/>
        </w:rPr>
        <w:tab/>
        <w:t>(full name of the AIFM),</w:t>
      </w:r>
    </w:p>
    <w:p w:rsidR="00580FAF" w:rsidRPr="00580FAF" w:rsidRDefault="00580FAF" w:rsidP="008154E8">
      <w:pPr>
        <w:tabs>
          <w:tab w:val="right" w:leader="dot" w:pos="10490"/>
        </w:tabs>
        <w:spacing w:after="0" w:line="240" w:lineRule="auto"/>
        <w:rPr>
          <w:rFonts w:ascii="Calibri" w:eastAsia="Times New Roman" w:hAnsi="Calibri" w:cs="Times New Roman"/>
          <w:lang w:eastAsia="fr-BE"/>
        </w:rPr>
      </w:pPr>
      <w:proofErr w:type="gramStart"/>
      <w:r w:rsidRPr="00580FAF">
        <w:rPr>
          <w:rFonts w:ascii="Calibri" w:eastAsia="Times New Roman" w:hAnsi="Calibri" w:cs="Times New Roman"/>
          <w:lang w:eastAsia="fr-BE"/>
        </w:rPr>
        <w:t>hereby</w:t>
      </w:r>
      <w:proofErr w:type="gramEnd"/>
      <w:r w:rsidRPr="00580FAF">
        <w:rPr>
          <w:rFonts w:ascii="Calibri" w:eastAsia="Times New Roman" w:hAnsi="Calibri" w:cs="Times New Roman"/>
          <w:lang w:eastAsia="fr-BE"/>
        </w:rPr>
        <w:t xml:space="preserve"> confirm</w:t>
      </w:r>
    </w:p>
    <w:p w:rsidR="00580FAF" w:rsidRPr="00580FAF" w:rsidRDefault="00580FAF" w:rsidP="008154E8">
      <w:pPr>
        <w:numPr>
          <w:ilvl w:val="0"/>
          <w:numId w:val="2"/>
        </w:numPr>
        <w:spacing w:before="240" w:after="0" w:line="240" w:lineRule="auto"/>
        <w:ind w:left="714" w:hanging="357"/>
        <w:rPr>
          <w:rFonts w:ascii="Calibri" w:eastAsia="Times New Roman" w:hAnsi="Calibri" w:cs="Arial"/>
          <w:szCs w:val="18"/>
          <w:lang w:eastAsia="fr-BE"/>
        </w:rPr>
      </w:pPr>
      <w:r w:rsidRPr="00580FAF">
        <w:rPr>
          <w:rFonts w:ascii="Calibri" w:eastAsia="Times New Roman" w:hAnsi="Calibri" w:cs="Arial"/>
          <w:szCs w:val="18"/>
          <w:lang w:eastAsia="fr-BE"/>
        </w:rPr>
        <w:t>that the AIFM complies with the following articles of the Belgian AIFM Law of 19 April 2014:</w:t>
      </w:r>
    </w:p>
    <w:p w:rsidR="00580FAF" w:rsidRPr="00580FAF" w:rsidRDefault="00580FAF" w:rsidP="008154E8">
      <w:pPr>
        <w:numPr>
          <w:ilvl w:val="1"/>
          <w:numId w:val="2"/>
        </w:numPr>
        <w:spacing w:before="120" w:after="0" w:line="240" w:lineRule="auto"/>
        <w:ind w:left="1434" w:hanging="357"/>
        <w:rPr>
          <w:rFonts w:ascii="Calibri" w:eastAsia="Times New Roman" w:hAnsi="Calibri" w:cs="Times New Roman"/>
          <w:lang w:eastAsia="fr-BE"/>
        </w:rPr>
      </w:pPr>
      <w:r w:rsidRPr="00580FAF">
        <w:rPr>
          <w:rFonts w:ascii="Calibri" w:eastAsia="Times New Roman" w:hAnsi="Calibri" w:cs="Times New Roman"/>
          <w:lang w:eastAsia="fr-BE"/>
        </w:rPr>
        <w:t>Articles 60 and 61 (annual report of the AIFs marketed in Belgium);</w:t>
      </w:r>
    </w:p>
    <w:p w:rsidR="00580FAF" w:rsidRPr="00580FAF" w:rsidRDefault="00580FAF" w:rsidP="008154E8">
      <w:pPr>
        <w:numPr>
          <w:ilvl w:val="1"/>
          <w:numId w:val="2"/>
        </w:numPr>
        <w:spacing w:before="120" w:after="0" w:line="240" w:lineRule="auto"/>
        <w:ind w:left="1434" w:hanging="357"/>
        <w:rPr>
          <w:rFonts w:ascii="Calibri" w:eastAsia="Times New Roman" w:hAnsi="Calibri" w:cs="Times New Roman"/>
          <w:lang w:eastAsia="fr-BE"/>
        </w:rPr>
      </w:pPr>
      <w:r w:rsidRPr="00580FAF">
        <w:rPr>
          <w:rFonts w:ascii="Calibri" w:eastAsia="Times New Roman" w:hAnsi="Calibri" w:cs="Times New Roman"/>
          <w:lang w:eastAsia="fr-BE"/>
        </w:rPr>
        <w:t>Articles 63 to 66 (reporting to the FSMA);</w:t>
      </w:r>
    </w:p>
    <w:p w:rsidR="00580FAF" w:rsidRPr="00580FAF" w:rsidRDefault="00580FAF" w:rsidP="008154E8">
      <w:pPr>
        <w:numPr>
          <w:ilvl w:val="1"/>
          <w:numId w:val="2"/>
        </w:numPr>
        <w:spacing w:before="120" w:after="0" w:line="240" w:lineRule="auto"/>
        <w:ind w:left="1434" w:hanging="357"/>
        <w:rPr>
          <w:rFonts w:ascii="Calibri" w:eastAsia="Times New Roman" w:hAnsi="Calibri" w:cs="Times New Roman"/>
          <w:lang w:eastAsia="fr-BE"/>
        </w:rPr>
      </w:pPr>
      <w:r w:rsidRPr="00580FAF">
        <w:rPr>
          <w:rFonts w:ascii="Calibri" w:eastAsia="Times New Roman" w:hAnsi="Calibri" w:cs="Times New Roman"/>
          <w:lang w:eastAsia="fr-BE"/>
        </w:rPr>
        <w:t>Articles 68 to 72 (information obligation to the investors);</w:t>
      </w:r>
    </w:p>
    <w:p w:rsidR="00580FAF" w:rsidRPr="00580FAF" w:rsidRDefault="00580FAF" w:rsidP="008154E8">
      <w:pPr>
        <w:numPr>
          <w:ilvl w:val="1"/>
          <w:numId w:val="2"/>
        </w:numPr>
        <w:spacing w:before="120" w:after="0" w:line="240" w:lineRule="auto"/>
        <w:ind w:left="1434" w:hanging="357"/>
        <w:rPr>
          <w:rFonts w:ascii="Calibri" w:eastAsia="Times New Roman" w:hAnsi="Calibri" w:cs="Times New Roman"/>
          <w:lang w:eastAsia="fr-BE"/>
        </w:rPr>
      </w:pPr>
      <w:r w:rsidRPr="00580FAF">
        <w:rPr>
          <w:rFonts w:ascii="Calibri" w:eastAsia="Times New Roman" w:hAnsi="Calibri" w:cs="Times New Roman"/>
          <w:lang w:eastAsia="fr-BE"/>
        </w:rPr>
        <w:t>Articles 76 to 82 (important holding of control of a n</w:t>
      </w:r>
      <w:r w:rsidR="00DA381C">
        <w:rPr>
          <w:rFonts w:ascii="Calibri" w:eastAsia="Times New Roman" w:hAnsi="Calibri" w:cs="Times New Roman"/>
          <w:lang w:eastAsia="fr-BE"/>
        </w:rPr>
        <w:t>on-listed company or an issuer);</w:t>
      </w:r>
    </w:p>
    <w:p w:rsidR="00580FAF" w:rsidRPr="00580FAF" w:rsidRDefault="00580FAF" w:rsidP="008154E8">
      <w:pPr>
        <w:numPr>
          <w:ilvl w:val="0"/>
          <w:numId w:val="2"/>
        </w:numPr>
        <w:spacing w:before="240" w:after="0" w:line="240" w:lineRule="auto"/>
        <w:ind w:left="714" w:hanging="357"/>
        <w:rPr>
          <w:rFonts w:ascii="Calibri" w:eastAsia="Times New Roman" w:hAnsi="Calibri" w:cs="Times New Roman"/>
          <w:lang w:eastAsia="fr-BE"/>
        </w:rPr>
      </w:pPr>
      <w:proofErr w:type="gramStart"/>
      <w:r w:rsidRPr="00580FAF">
        <w:rPr>
          <w:rFonts w:ascii="Calibri" w:eastAsia="Times New Roman" w:hAnsi="Calibri" w:cs="Times New Roman"/>
          <w:lang w:eastAsia="fr-BE"/>
        </w:rPr>
        <w:t>that</w:t>
      </w:r>
      <w:proofErr w:type="gramEnd"/>
      <w:r w:rsidRPr="00580FAF">
        <w:rPr>
          <w:rFonts w:ascii="Calibri" w:eastAsia="Times New Roman" w:hAnsi="Calibri" w:cs="Times New Roman"/>
          <w:lang w:eastAsia="fr-BE"/>
        </w:rPr>
        <w:t xml:space="preserve"> the information contained in the application form and attached to this file is accurate and complete.</w:t>
      </w:r>
    </w:p>
    <w:p w:rsidR="00580FAF" w:rsidRPr="00580FAF" w:rsidRDefault="00580FAF" w:rsidP="008154E8">
      <w:pPr>
        <w:tabs>
          <w:tab w:val="right" w:leader="dot" w:pos="5245"/>
          <w:tab w:val="right" w:leader="dot" w:pos="9498"/>
        </w:tabs>
        <w:spacing w:before="240" w:after="0" w:line="240" w:lineRule="auto"/>
        <w:rPr>
          <w:rFonts w:ascii="Calibri" w:eastAsia="Times New Roman" w:hAnsi="Calibri" w:cs="Times New Roman"/>
          <w:lang w:eastAsia="fr-BE"/>
        </w:rPr>
      </w:pPr>
      <w:r w:rsidRPr="00580FAF">
        <w:rPr>
          <w:rFonts w:ascii="Calibri" w:eastAsia="Times New Roman" w:hAnsi="Calibri" w:cs="Times New Roman"/>
          <w:lang w:eastAsia="fr-BE"/>
        </w:rPr>
        <w:t>Done at</w:t>
      </w:r>
      <w:r w:rsidRPr="00580FAF">
        <w:rPr>
          <w:rFonts w:ascii="Calibri" w:eastAsia="Times New Roman" w:hAnsi="Calibri" w:cs="Times New Roman"/>
          <w:lang w:eastAsia="fr-BE"/>
        </w:rPr>
        <w:tab/>
        <w:t xml:space="preserve">(location), this </w:t>
      </w:r>
      <w:r w:rsidRPr="00580FAF">
        <w:rPr>
          <w:rFonts w:ascii="Calibri" w:eastAsia="Times New Roman" w:hAnsi="Calibri" w:cs="Times New Roman"/>
          <w:lang w:eastAsia="fr-BE"/>
        </w:rPr>
        <w:tab/>
        <w:t>(date)</w:t>
      </w:r>
    </w:p>
    <w:p w:rsidR="00580FAF" w:rsidRPr="00580FAF" w:rsidRDefault="00580FAF" w:rsidP="008154E8">
      <w:pPr>
        <w:tabs>
          <w:tab w:val="right" w:leader="dot" w:pos="4962"/>
          <w:tab w:val="right" w:leader="dot" w:pos="8505"/>
        </w:tabs>
        <w:spacing w:before="480" w:after="0" w:line="240" w:lineRule="auto"/>
        <w:rPr>
          <w:rFonts w:ascii="Calibri" w:eastAsia="Times New Roman" w:hAnsi="Calibri" w:cs="Times New Roman"/>
          <w:lang w:eastAsia="fr-BE"/>
        </w:rPr>
      </w:pPr>
      <w:r w:rsidRPr="00580FAF">
        <w:rPr>
          <w:rFonts w:ascii="Calibri" w:eastAsia="Times New Roman" w:hAnsi="Calibri" w:cs="Times New Roman"/>
          <w:lang w:eastAsia="fr-BE"/>
        </w:rPr>
        <w:t>Signature</w:t>
      </w:r>
      <w:r w:rsidR="008154E8">
        <w:rPr>
          <w:rFonts w:ascii="Calibri" w:eastAsia="Times New Roman" w:hAnsi="Calibri" w:cs="Times New Roman"/>
          <w:lang w:eastAsia="fr-BE"/>
        </w:rPr>
        <w:t>:</w:t>
      </w:r>
    </w:p>
    <w:p w:rsidR="00580FAF" w:rsidRPr="00580FAF" w:rsidRDefault="00580FAF" w:rsidP="00580FAF">
      <w:pPr>
        <w:spacing w:after="0" w:line="240" w:lineRule="atLeast"/>
        <w:ind w:left="720"/>
        <w:jc w:val="center"/>
        <w:rPr>
          <w:rFonts w:ascii="Arial" w:eastAsia="Times New Roman" w:hAnsi="Arial" w:cs="Arial"/>
          <w:b/>
          <w:sz w:val="18"/>
          <w:szCs w:val="18"/>
          <w:lang w:eastAsia="fr-FR"/>
        </w:rPr>
      </w:pPr>
    </w:p>
    <w:p w:rsidR="008154E8" w:rsidRDefault="008154E8">
      <w:pPr>
        <w:spacing w:after="200" w:line="276" w:lineRule="auto"/>
        <w:rPr>
          <w:rFonts w:ascii="Calibri" w:eastAsia="Times New Roman" w:hAnsi="Calibri" w:cs="Times New Roman"/>
          <w:lang w:eastAsia="fr-BE"/>
        </w:rPr>
      </w:pPr>
      <w:r>
        <w:rPr>
          <w:rFonts w:ascii="Calibri" w:eastAsia="Times New Roman" w:hAnsi="Calibri" w:cs="Times New Roman"/>
          <w:lang w:eastAsia="fr-BE"/>
        </w:rPr>
        <w:br w:type="page"/>
      </w:r>
    </w:p>
    <w:p w:rsidR="00580FAF" w:rsidRPr="00FA4D8E" w:rsidRDefault="00580FAF" w:rsidP="00F2413E">
      <w:pPr>
        <w:spacing w:after="0" w:line="240" w:lineRule="auto"/>
        <w:jc w:val="center"/>
        <w:rPr>
          <w:rFonts w:eastAsia="Times New Roman" w:cs="Times New Roman"/>
          <w:b/>
          <w:sz w:val="24"/>
          <w:u w:val="single"/>
          <w:lang w:eastAsia="fr-BE"/>
        </w:rPr>
      </w:pPr>
      <w:r w:rsidRPr="00FA4D8E">
        <w:rPr>
          <w:rFonts w:eastAsia="Times New Roman" w:cs="Arial"/>
          <w:b/>
          <w:sz w:val="24"/>
          <w:u w:val="single"/>
          <w:lang w:eastAsia="fr-BE"/>
        </w:rPr>
        <w:lastRenderedPageBreak/>
        <w:t>The relevant articles of the Belgian AIFM Law of 19 April 2014</w:t>
      </w:r>
    </w:p>
    <w:p w:rsidR="00580FAF" w:rsidRPr="006C0690" w:rsidRDefault="00580FAF" w:rsidP="00201F57">
      <w:pPr>
        <w:spacing w:before="480" w:after="0" w:line="240" w:lineRule="auto"/>
        <w:jc w:val="both"/>
        <w:rPr>
          <w:rFonts w:eastAsia="Times New Roman" w:cs="Times New Roman"/>
          <w:b/>
          <w:lang w:val="en-US" w:eastAsia="fr-BE"/>
        </w:rPr>
      </w:pPr>
      <w:r w:rsidRPr="006C0690">
        <w:rPr>
          <w:rFonts w:eastAsia="Times New Roman" w:cs="Times New Roman"/>
          <w:b/>
          <w:lang w:val="en-US" w:eastAsia="fr-BE"/>
        </w:rPr>
        <w:t>Article 60</w:t>
      </w:r>
    </w:p>
    <w:p w:rsidR="00580FAF" w:rsidRPr="006C0690" w:rsidRDefault="00580FAF" w:rsidP="00F2413E">
      <w:pPr>
        <w:spacing w:before="120" w:after="0" w:line="240" w:lineRule="auto"/>
        <w:jc w:val="both"/>
        <w:rPr>
          <w:rFonts w:eastAsia="Times New Roman" w:cs="Times New Roman"/>
          <w:lang w:val="en-US" w:eastAsia="fr-BE"/>
        </w:rPr>
      </w:pPr>
      <w:r w:rsidRPr="006C0690">
        <w:rPr>
          <w:rFonts w:eastAsia="Times New Roman" w:cs="Times New Roman"/>
          <w:lang w:val="en-US" w:eastAsia="fr-BE"/>
        </w:rPr>
        <w:t xml:space="preserve">An AIFM shall, for each of the EU AIFs it manages and for each of the AIFs it markets in the European Economic Area, make available an annual report for each financial year no later than six months following the end of the financial year. The annual report </w:t>
      </w:r>
      <w:proofErr w:type="gramStart"/>
      <w:r w:rsidRPr="006C0690">
        <w:rPr>
          <w:rFonts w:eastAsia="Times New Roman" w:cs="Times New Roman"/>
          <w:lang w:val="en-US" w:eastAsia="fr-BE"/>
        </w:rPr>
        <w:t>shall be provided</w:t>
      </w:r>
      <w:proofErr w:type="gramEnd"/>
      <w:r w:rsidRPr="006C0690">
        <w:rPr>
          <w:rFonts w:eastAsia="Times New Roman" w:cs="Times New Roman"/>
          <w:lang w:val="en-US" w:eastAsia="fr-BE"/>
        </w:rPr>
        <w:t xml:space="preserve"> to unit-holders on request. The annual report shall be made available to the FSMA and, where applicable, to the competent authorities of the AIF's home Member State.</w:t>
      </w:r>
    </w:p>
    <w:p w:rsidR="00580FAF" w:rsidRPr="006C0690" w:rsidRDefault="00580FAF" w:rsidP="00F2413E">
      <w:pPr>
        <w:spacing w:before="120" w:after="0" w:line="240" w:lineRule="auto"/>
        <w:jc w:val="both"/>
        <w:rPr>
          <w:rFonts w:eastAsia="Times New Roman" w:cs="EUAlbertina"/>
          <w:lang w:val="en-US" w:eastAsia="fr-BE"/>
        </w:rPr>
      </w:pPr>
      <w:r w:rsidRPr="006C0690">
        <w:rPr>
          <w:rFonts w:eastAsia="Times New Roman" w:cs="Times New Roman"/>
          <w:lang w:val="en-US" w:eastAsia="fr-BE"/>
        </w:rPr>
        <w:t>Where the AIF is required to make public an annual financial report in accordance with Directive 2004/109/EC, only the additional information referred to in Article 61, § 1 [</w:t>
      </w:r>
      <w:r w:rsidRPr="006C0690">
        <w:rPr>
          <w:rFonts w:eastAsia="Times New Roman" w:cs="Times New Roman"/>
          <w:i/>
          <w:lang w:val="en-US" w:eastAsia="fr-BE"/>
        </w:rPr>
        <w:t>below</w:t>
      </w:r>
      <w:r w:rsidRPr="006C0690">
        <w:rPr>
          <w:rFonts w:eastAsia="Times New Roman" w:cs="Times New Roman"/>
          <w:lang w:val="en-US" w:eastAsia="fr-BE"/>
        </w:rPr>
        <w:t xml:space="preserve">] needs to be provided to unit-holders on request, either separately or as an additional part of the annual financial report. In the latter case, the annual financial report </w:t>
      </w:r>
      <w:proofErr w:type="gramStart"/>
      <w:r w:rsidRPr="006C0690">
        <w:rPr>
          <w:rFonts w:eastAsia="Times New Roman" w:cs="Times New Roman"/>
          <w:lang w:val="en-US" w:eastAsia="fr-BE"/>
        </w:rPr>
        <w:t>shall be made</w:t>
      </w:r>
      <w:proofErr w:type="gramEnd"/>
      <w:r w:rsidRPr="006C0690">
        <w:rPr>
          <w:rFonts w:eastAsia="Times New Roman" w:cs="Times New Roman"/>
          <w:lang w:val="en-US" w:eastAsia="fr-BE"/>
        </w:rPr>
        <w:t xml:space="preserve"> public no later than four months following the end of the financial year.</w:t>
      </w:r>
    </w:p>
    <w:p w:rsidR="00580FAF" w:rsidRPr="006C0690" w:rsidRDefault="00580FAF" w:rsidP="00F2413E">
      <w:pPr>
        <w:spacing w:before="240" w:after="0" w:line="240" w:lineRule="auto"/>
        <w:jc w:val="both"/>
        <w:rPr>
          <w:rFonts w:eastAsia="Times New Roman" w:cs="EUAlbertina"/>
          <w:b/>
          <w:lang w:val="en-US" w:eastAsia="fr-BE"/>
        </w:rPr>
      </w:pPr>
      <w:r w:rsidRPr="006C0690">
        <w:rPr>
          <w:rFonts w:eastAsia="Times New Roman" w:cs="Times New Roman"/>
          <w:b/>
          <w:lang w:val="en-US" w:eastAsia="fr-BE"/>
        </w:rPr>
        <w:t>Article 61</w:t>
      </w:r>
    </w:p>
    <w:p w:rsidR="00580FAF" w:rsidRPr="006C0690" w:rsidRDefault="00201F57" w:rsidP="00201F57">
      <w:pPr>
        <w:spacing w:before="120" w:after="0" w:line="240" w:lineRule="auto"/>
        <w:ind w:left="426" w:hanging="426"/>
        <w:jc w:val="both"/>
        <w:rPr>
          <w:rFonts w:eastAsia="Times New Roman" w:cs="EUAlbertina"/>
          <w:lang w:val="en-US" w:eastAsia="fr-BE"/>
        </w:rPr>
      </w:pPr>
      <w:r>
        <w:rPr>
          <w:rFonts w:eastAsia="Times New Roman" w:cs="Times New Roman"/>
          <w:lang w:val="en-US" w:eastAsia="fr-BE"/>
        </w:rPr>
        <w:t xml:space="preserve">§ 1. </w:t>
      </w:r>
      <w:r>
        <w:rPr>
          <w:rFonts w:eastAsia="Times New Roman" w:cs="Times New Roman"/>
          <w:lang w:val="en-US" w:eastAsia="fr-BE"/>
        </w:rPr>
        <w:tab/>
      </w:r>
      <w:r w:rsidR="00580FAF" w:rsidRPr="006C0690">
        <w:rPr>
          <w:rFonts w:eastAsia="Times New Roman" w:cs="Times New Roman"/>
          <w:lang w:val="en-US" w:eastAsia="fr-BE"/>
        </w:rPr>
        <w:t>The annual report shall comprise at least the following information:</w:t>
      </w:r>
    </w:p>
    <w:p w:rsidR="00580FAF" w:rsidRPr="006C0690" w:rsidRDefault="00580FAF" w:rsidP="00201F57">
      <w:pPr>
        <w:spacing w:before="120" w:after="0" w:line="240" w:lineRule="auto"/>
        <w:ind w:left="851" w:hanging="425"/>
        <w:jc w:val="both"/>
        <w:rPr>
          <w:rFonts w:eastAsia="Times New Roman" w:cs="EUAlbertina"/>
          <w:lang w:val="en-US" w:eastAsia="fr-BE"/>
        </w:rPr>
      </w:pPr>
      <w:r w:rsidRPr="006C0690">
        <w:rPr>
          <w:rFonts w:eastAsia="Times New Roman" w:cs="Times New Roman"/>
          <w:lang w:val="en-US" w:eastAsia="fr-BE"/>
        </w:rPr>
        <w:t xml:space="preserve">1° </w:t>
      </w:r>
      <w:r w:rsidR="00201F57">
        <w:rPr>
          <w:rFonts w:eastAsia="Times New Roman" w:cs="Times New Roman"/>
          <w:lang w:val="en-US" w:eastAsia="fr-BE"/>
        </w:rPr>
        <w:tab/>
      </w:r>
      <w:r w:rsidRPr="006C0690">
        <w:rPr>
          <w:rFonts w:eastAsia="Times New Roman" w:cs="Times New Roman"/>
          <w:lang w:val="en-US" w:eastAsia="fr-BE"/>
        </w:rPr>
        <w:t>a balance sheet or a statement of assets and liabilities;</w:t>
      </w:r>
    </w:p>
    <w:p w:rsidR="00580FAF" w:rsidRPr="006C0690" w:rsidRDefault="00580FAF" w:rsidP="00201F57">
      <w:pPr>
        <w:spacing w:before="120" w:after="0" w:line="240" w:lineRule="auto"/>
        <w:ind w:left="851" w:hanging="425"/>
        <w:jc w:val="both"/>
        <w:rPr>
          <w:rFonts w:eastAsia="Times New Roman" w:cs="EUAlbertina"/>
          <w:lang w:val="en-US" w:eastAsia="fr-BE"/>
        </w:rPr>
      </w:pPr>
      <w:r w:rsidRPr="006C0690">
        <w:rPr>
          <w:rFonts w:eastAsia="Times New Roman" w:cs="Times New Roman"/>
          <w:lang w:val="en-US" w:eastAsia="fr-BE"/>
        </w:rPr>
        <w:t xml:space="preserve">2° </w:t>
      </w:r>
      <w:r w:rsidR="00201F57">
        <w:rPr>
          <w:rFonts w:eastAsia="Times New Roman" w:cs="Times New Roman"/>
          <w:lang w:val="en-US" w:eastAsia="fr-BE"/>
        </w:rPr>
        <w:tab/>
      </w:r>
      <w:r w:rsidRPr="006C0690">
        <w:rPr>
          <w:rFonts w:eastAsia="Times New Roman" w:cs="Times New Roman"/>
          <w:lang w:val="en-US" w:eastAsia="fr-BE"/>
        </w:rPr>
        <w:t>an income and expenditure account for the financial year;</w:t>
      </w:r>
    </w:p>
    <w:p w:rsidR="00580FAF" w:rsidRPr="006C0690" w:rsidRDefault="00580FAF" w:rsidP="00201F57">
      <w:pPr>
        <w:spacing w:before="120" w:after="0" w:line="240" w:lineRule="auto"/>
        <w:ind w:left="851" w:hanging="425"/>
        <w:jc w:val="both"/>
        <w:rPr>
          <w:rFonts w:eastAsia="Times New Roman" w:cs="EUAlbertina"/>
          <w:lang w:val="en-US" w:eastAsia="fr-BE"/>
        </w:rPr>
      </w:pPr>
      <w:r w:rsidRPr="006C0690">
        <w:rPr>
          <w:rFonts w:eastAsia="Times New Roman" w:cs="Times New Roman"/>
          <w:lang w:val="en-US" w:eastAsia="fr-BE"/>
        </w:rPr>
        <w:t xml:space="preserve">3° </w:t>
      </w:r>
      <w:r w:rsidR="00201F57">
        <w:rPr>
          <w:rFonts w:eastAsia="Times New Roman" w:cs="Times New Roman"/>
          <w:lang w:val="en-US" w:eastAsia="fr-BE"/>
        </w:rPr>
        <w:tab/>
      </w:r>
      <w:r w:rsidRPr="006C0690">
        <w:rPr>
          <w:rFonts w:eastAsia="Times New Roman" w:cs="Times New Roman"/>
          <w:lang w:val="en-US" w:eastAsia="fr-BE"/>
        </w:rPr>
        <w:t>a report on the activities of the financial year;</w:t>
      </w:r>
    </w:p>
    <w:p w:rsidR="00580FAF" w:rsidRPr="006C0690" w:rsidRDefault="00580FAF" w:rsidP="00201F57">
      <w:pPr>
        <w:spacing w:before="120" w:after="0" w:line="240" w:lineRule="auto"/>
        <w:ind w:left="851" w:hanging="425"/>
        <w:jc w:val="both"/>
        <w:rPr>
          <w:rFonts w:eastAsia="Times New Roman" w:cs="EUAlbertina"/>
          <w:lang w:val="en-US" w:eastAsia="fr-BE"/>
        </w:rPr>
      </w:pPr>
      <w:r w:rsidRPr="006C0690">
        <w:rPr>
          <w:rFonts w:eastAsia="Times New Roman" w:cs="Times New Roman"/>
          <w:lang w:val="en-US" w:eastAsia="fr-BE"/>
        </w:rPr>
        <w:t xml:space="preserve">4° </w:t>
      </w:r>
      <w:r w:rsidR="00201F57">
        <w:rPr>
          <w:rFonts w:eastAsia="Times New Roman" w:cs="Times New Roman"/>
          <w:lang w:val="en-US" w:eastAsia="fr-BE"/>
        </w:rPr>
        <w:tab/>
      </w:r>
      <w:r w:rsidRPr="006C0690">
        <w:rPr>
          <w:rFonts w:eastAsia="Times New Roman" w:cs="Times New Roman"/>
          <w:lang w:val="en-US" w:eastAsia="fr-BE"/>
        </w:rPr>
        <w:t>any material changes in the information referred to in Article 68 that took place during the financial year covered by the report</w:t>
      </w:r>
      <w:proofErr w:type="gramStart"/>
      <w:r w:rsidRPr="006C0690">
        <w:rPr>
          <w:rFonts w:eastAsia="Times New Roman" w:cs="Times New Roman"/>
          <w:lang w:val="en-US" w:eastAsia="fr-BE"/>
        </w:rPr>
        <w:t>;</w:t>
      </w:r>
      <w:proofErr w:type="gramEnd"/>
    </w:p>
    <w:p w:rsidR="00580FAF" w:rsidRPr="006C0690" w:rsidRDefault="00580FAF" w:rsidP="00201F57">
      <w:pPr>
        <w:spacing w:before="120" w:after="0" w:line="240" w:lineRule="auto"/>
        <w:ind w:left="851" w:hanging="425"/>
        <w:jc w:val="both"/>
        <w:rPr>
          <w:rFonts w:eastAsia="Times New Roman" w:cs="EUAlbertina"/>
          <w:lang w:val="en-US" w:eastAsia="fr-BE"/>
        </w:rPr>
      </w:pPr>
      <w:r w:rsidRPr="006C0690">
        <w:rPr>
          <w:rFonts w:eastAsia="Times New Roman" w:cs="Times New Roman"/>
          <w:lang w:val="en-US" w:eastAsia="fr-BE"/>
        </w:rPr>
        <w:t xml:space="preserve">5° </w:t>
      </w:r>
      <w:r w:rsidR="00201F57">
        <w:rPr>
          <w:rFonts w:eastAsia="Times New Roman" w:cs="Times New Roman"/>
          <w:lang w:val="en-US" w:eastAsia="fr-BE"/>
        </w:rPr>
        <w:tab/>
      </w:r>
      <w:r w:rsidRPr="006C0690">
        <w:rPr>
          <w:rFonts w:eastAsia="Times New Roman" w:cs="Times New Roman"/>
          <w:lang w:val="en-US" w:eastAsia="fr-BE"/>
        </w:rPr>
        <w:t>the total amount of remuneration for the financial year, split into fixed and variable remuneration, paid by the AIFM to its staff, the number of beneficiaries and, where relevant, carried interest paid by the AIF;</w:t>
      </w:r>
    </w:p>
    <w:p w:rsidR="00580FAF" w:rsidRPr="006C0690" w:rsidRDefault="00580FAF" w:rsidP="00201F57">
      <w:pPr>
        <w:spacing w:before="120" w:after="0" w:line="240" w:lineRule="auto"/>
        <w:ind w:left="851" w:hanging="425"/>
        <w:jc w:val="both"/>
        <w:rPr>
          <w:rFonts w:eastAsia="Times New Roman" w:cs="EUAlbertina"/>
          <w:lang w:val="en-US" w:eastAsia="fr-BE"/>
        </w:rPr>
      </w:pPr>
      <w:r w:rsidRPr="006C0690">
        <w:rPr>
          <w:rFonts w:eastAsia="Times New Roman" w:cs="Times New Roman"/>
          <w:lang w:val="en-US" w:eastAsia="fr-BE"/>
        </w:rPr>
        <w:t xml:space="preserve">6° </w:t>
      </w:r>
      <w:r w:rsidR="00201F57">
        <w:rPr>
          <w:rFonts w:eastAsia="Times New Roman" w:cs="Times New Roman"/>
          <w:lang w:val="en-US" w:eastAsia="fr-BE"/>
        </w:rPr>
        <w:tab/>
      </w:r>
      <w:r w:rsidRPr="006C0690">
        <w:rPr>
          <w:rFonts w:eastAsia="Times New Roman" w:cs="Times New Roman"/>
          <w:lang w:val="en-US" w:eastAsia="fr-BE"/>
        </w:rPr>
        <w:t>the aggregate amount of remuneration broken down by senior management and members of staff of the manager whose actions have a material impact on the risk profile of the AIF.</w:t>
      </w:r>
    </w:p>
    <w:p w:rsidR="00580FAF" w:rsidRPr="006C0690" w:rsidRDefault="00201F57" w:rsidP="005C78A6">
      <w:pPr>
        <w:spacing w:before="120" w:after="0" w:line="240" w:lineRule="auto"/>
        <w:ind w:left="426" w:hanging="426"/>
        <w:jc w:val="both"/>
        <w:rPr>
          <w:rFonts w:eastAsia="Times New Roman" w:cs="EUAlbertina"/>
          <w:lang w:val="en-US" w:eastAsia="fr-BE"/>
        </w:rPr>
      </w:pPr>
      <w:r>
        <w:rPr>
          <w:rFonts w:eastAsia="Times New Roman" w:cs="Times New Roman"/>
          <w:lang w:val="en-US" w:eastAsia="fr-BE"/>
        </w:rPr>
        <w:t xml:space="preserve">§ 2. </w:t>
      </w:r>
      <w:r>
        <w:rPr>
          <w:rFonts w:eastAsia="Times New Roman" w:cs="Times New Roman"/>
          <w:lang w:val="en-US" w:eastAsia="fr-BE"/>
        </w:rPr>
        <w:tab/>
      </w:r>
      <w:r w:rsidR="00580FAF" w:rsidRPr="006C0690">
        <w:rPr>
          <w:rFonts w:eastAsia="Times New Roman" w:cs="Times New Roman"/>
          <w:lang w:val="en-US" w:eastAsia="fr-BE"/>
        </w:rPr>
        <w:t xml:space="preserve">Where an AIF has, individually or jointly, acquired control over a non-listed company, it shall include the information referred to in Article 81, § </w:t>
      </w:r>
      <w:proofErr w:type="gramStart"/>
      <w:r w:rsidR="00580FAF" w:rsidRPr="006C0690">
        <w:rPr>
          <w:rFonts w:eastAsia="Times New Roman" w:cs="Times New Roman"/>
          <w:lang w:val="en-US" w:eastAsia="fr-BE"/>
        </w:rPr>
        <w:t>2</w:t>
      </w:r>
      <w:proofErr w:type="gramEnd"/>
      <w:r w:rsidR="00580FAF" w:rsidRPr="006C0690">
        <w:rPr>
          <w:rFonts w:eastAsia="Times New Roman" w:cs="Times New Roman"/>
          <w:lang w:val="en-US" w:eastAsia="fr-BE"/>
        </w:rPr>
        <w:t xml:space="preserve"> in its annual report.</w:t>
      </w:r>
    </w:p>
    <w:p w:rsidR="00580FAF" w:rsidRPr="006C0690" w:rsidRDefault="00201F57" w:rsidP="005C78A6">
      <w:pPr>
        <w:spacing w:before="120" w:after="0" w:line="240" w:lineRule="auto"/>
        <w:ind w:left="426" w:hanging="426"/>
        <w:jc w:val="both"/>
        <w:rPr>
          <w:rFonts w:eastAsia="Times New Roman" w:cs="EUAlbertina"/>
          <w:lang w:val="en-US" w:eastAsia="fr-BE"/>
        </w:rPr>
      </w:pPr>
      <w:r>
        <w:rPr>
          <w:rFonts w:eastAsia="Times New Roman" w:cs="Times New Roman"/>
          <w:lang w:val="en-US" w:eastAsia="fr-BE"/>
        </w:rPr>
        <w:t>§ 3.</w:t>
      </w:r>
      <w:r>
        <w:rPr>
          <w:rFonts w:eastAsia="Times New Roman" w:cs="Times New Roman"/>
          <w:lang w:val="en-US" w:eastAsia="fr-BE"/>
        </w:rPr>
        <w:tab/>
      </w:r>
      <w:proofErr w:type="gramStart"/>
      <w:r w:rsidR="00580FAF" w:rsidRPr="006C0690">
        <w:rPr>
          <w:rFonts w:eastAsia="Times New Roman" w:cs="Times New Roman"/>
          <w:lang w:val="en-US" w:eastAsia="fr-BE"/>
        </w:rPr>
        <w:t>The accounting information given in the annual report shall be prepared in accordance with the accounting standards of the home Member State of the AIF or in accordance with the applicable legal or regulatory provisions of the third country where the AIF is established, and in accordance with the accounting rules laid down in the AIF rules or instruments of incorporation.</w:t>
      </w:r>
      <w:proofErr w:type="gramEnd"/>
    </w:p>
    <w:p w:rsidR="00580FAF" w:rsidRPr="006C0690" w:rsidRDefault="00201F57" w:rsidP="00201F57">
      <w:pPr>
        <w:autoSpaceDE w:val="0"/>
        <w:autoSpaceDN w:val="0"/>
        <w:adjustRightInd w:val="0"/>
        <w:spacing w:before="120" w:after="0" w:line="240" w:lineRule="auto"/>
        <w:ind w:left="426" w:hanging="426"/>
        <w:jc w:val="both"/>
        <w:outlineLvl w:val="1"/>
        <w:rPr>
          <w:rFonts w:eastAsia="Times New Roman" w:cs="Times New Roman"/>
          <w:b/>
          <w:bCs/>
          <w:lang w:val="en-US" w:eastAsia="fr-FR"/>
        </w:rPr>
      </w:pPr>
      <w:r>
        <w:rPr>
          <w:rFonts w:eastAsia="Times New Roman" w:cs="Times New Roman"/>
          <w:lang w:val="en-US" w:eastAsia="fr-FR"/>
        </w:rPr>
        <w:t>§ 4.</w:t>
      </w:r>
      <w:r>
        <w:rPr>
          <w:rFonts w:eastAsia="Times New Roman" w:cs="Times New Roman"/>
          <w:lang w:val="en-US" w:eastAsia="fr-FR"/>
        </w:rPr>
        <w:tab/>
      </w:r>
      <w:r w:rsidR="00580FAF" w:rsidRPr="006C0690">
        <w:rPr>
          <w:rFonts w:eastAsia="Times New Roman" w:cs="Times New Roman"/>
          <w:lang w:val="en-US" w:eastAsia="fr-FR"/>
        </w:rPr>
        <w:t xml:space="preserve">As regards AIFs governed by Belgian law, </w:t>
      </w:r>
      <w:proofErr w:type="gramStart"/>
      <w:r w:rsidR="00580FAF" w:rsidRPr="006C0690">
        <w:rPr>
          <w:rFonts w:eastAsia="Times New Roman" w:cs="Times New Roman"/>
          <w:lang w:val="en-US" w:eastAsia="fr-FR"/>
        </w:rPr>
        <w:t>the accounting information given in the annual report shall be audited by one or more statutory auditors in accordance with the provisions of the Companies Code</w:t>
      </w:r>
      <w:proofErr w:type="gramEnd"/>
      <w:r w:rsidR="00580FAF" w:rsidRPr="006C0690">
        <w:rPr>
          <w:rFonts w:eastAsia="Times New Roman" w:cs="Times New Roman"/>
          <w:lang w:val="en-US" w:eastAsia="fr-FR"/>
        </w:rPr>
        <w:t>. Article 141 of the Companies Code shall not apply.</w:t>
      </w:r>
    </w:p>
    <w:p w:rsidR="00580FAF" w:rsidRPr="006C0690" w:rsidRDefault="00580FAF" w:rsidP="005C78A6">
      <w:pPr>
        <w:spacing w:before="120" w:after="0" w:line="240" w:lineRule="auto"/>
        <w:ind w:left="426"/>
        <w:jc w:val="both"/>
        <w:rPr>
          <w:rFonts w:eastAsia="Times New Roman" w:cs="Times New Roman"/>
          <w:lang w:val="en-US" w:eastAsia="fr-BE"/>
        </w:rPr>
      </w:pPr>
      <w:r w:rsidRPr="006C0690">
        <w:rPr>
          <w:rFonts w:eastAsia="Times New Roman" w:cs="Times New Roman"/>
          <w:lang w:val="en-US" w:eastAsia="fr-BE"/>
        </w:rPr>
        <w:t xml:space="preserve">As regards foreign AIFs, </w:t>
      </w:r>
      <w:proofErr w:type="gramStart"/>
      <w:r w:rsidRPr="006C0690">
        <w:rPr>
          <w:rFonts w:eastAsia="Times New Roman" w:cs="Times New Roman"/>
          <w:lang w:val="en-US" w:eastAsia="fr-BE"/>
        </w:rPr>
        <w:t>the accounting information given in the annual report shall be audited by one or more persons empowered by law to audit accounts in accordance with Directive 2006/43/EC</w:t>
      </w:r>
      <w:proofErr w:type="gramEnd"/>
      <w:r w:rsidRPr="006C0690">
        <w:rPr>
          <w:rFonts w:eastAsia="Times New Roman" w:cs="Times New Roman"/>
          <w:lang w:val="en-US" w:eastAsia="fr-BE"/>
        </w:rPr>
        <w:t>.</w:t>
      </w:r>
    </w:p>
    <w:p w:rsidR="00580FAF" w:rsidRPr="006C0690" w:rsidRDefault="00580FAF" w:rsidP="005C78A6">
      <w:pPr>
        <w:spacing w:before="120" w:after="0" w:line="240" w:lineRule="auto"/>
        <w:ind w:left="426"/>
        <w:jc w:val="both"/>
        <w:rPr>
          <w:rFonts w:eastAsia="Times New Roman" w:cs="Times New Roman"/>
          <w:b/>
          <w:bCs/>
          <w:lang w:val="en-US" w:eastAsia="fr-BE"/>
        </w:rPr>
      </w:pPr>
      <w:r w:rsidRPr="006C0690">
        <w:rPr>
          <w:rFonts w:eastAsia="Times New Roman" w:cs="Times New Roman"/>
          <w:lang w:val="en-US" w:eastAsia="fr-BE"/>
        </w:rPr>
        <w:t>The report by the auditor as referred to in the first paragraph, or by the person empowered to audit the accounts as referred to in the second paragraph, including any qualifications, shall be reproduced in full in the annual report.</w:t>
      </w:r>
    </w:p>
    <w:p w:rsidR="005C78A6" w:rsidRDefault="005C78A6">
      <w:pPr>
        <w:spacing w:after="200" w:line="276" w:lineRule="auto"/>
        <w:rPr>
          <w:rFonts w:eastAsia="Times New Roman" w:cs="Times New Roman"/>
          <w:lang w:val="en-US" w:eastAsia="fr-BE"/>
        </w:rPr>
      </w:pPr>
      <w:r>
        <w:rPr>
          <w:rFonts w:eastAsia="Times New Roman" w:cs="Times New Roman"/>
          <w:lang w:val="en-US" w:eastAsia="fr-BE"/>
        </w:rPr>
        <w:br w:type="page"/>
      </w:r>
    </w:p>
    <w:p w:rsidR="00580FAF" w:rsidRPr="006C0690" w:rsidRDefault="00580FAF" w:rsidP="00201F57">
      <w:pPr>
        <w:spacing w:before="120" w:after="0" w:line="240" w:lineRule="auto"/>
        <w:jc w:val="both"/>
        <w:rPr>
          <w:rFonts w:eastAsia="Times New Roman" w:cs="EUAlbertina"/>
          <w:lang w:val="en-US" w:eastAsia="fr-BE"/>
        </w:rPr>
      </w:pPr>
      <w:r w:rsidRPr="006C0690">
        <w:rPr>
          <w:rFonts w:eastAsia="Times New Roman" w:cs="Times New Roman"/>
          <w:lang w:val="en-US" w:eastAsia="fr-BE"/>
        </w:rPr>
        <w:lastRenderedPageBreak/>
        <w:t xml:space="preserve">By way of derogation from the preceding paragraphs, AIFMs marketing non-EEA AIFs may nevertheless subject their annual report to an audit that meets the international accounting standards in force in the country where the AIF in question has its registered office. In specific cases, the FSMA may also require that the annual report </w:t>
      </w:r>
      <w:proofErr w:type="gramStart"/>
      <w:r w:rsidRPr="006C0690">
        <w:rPr>
          <w:rFonts w:eastAsia="Times New Roman" w:cs="Times New Roman"/>
          <w:lang w:val="en-US" w:eastAsia="fr-BE"/>
        </w:rPr>
        <w:t>be subjected</w:t>
      </w:r>
      <w:proofErr w:type="gramEnd"/>
      <w:r w:rsidRPr="006C0690">
        <w:rPr>
          <w:rFonts w:eastAsia="Times New Roman" w:cs="Times New Roman"/>
          <w:lang w:val="en-US" w:eastAsia="fr-BE"/>
        </w:rPr>
        <w:t xml:space="preserve"> to an audit that meets the accounting standards in force in a Member State.</w:t>
      </w:r>
    </w:p>
    <w:p w:rsidR="00580FAF" w:rsidRPr="006C0690" w:rsidRDefault="00580FAF" w:rsidP="005C78A6">
      <w:pPr>
        <w:spacing w:before="120" w:after="0" w:line="240" w:lineRule="auto"/>
        <w:jc w:val="both"/>
        <w:rPr>
          <w:rFonts w:eastAsia="Times New Roman" w:cs="EUAlbertina"/>
          <w:i/>
          <w:lang w:val="en-US" w:eastAsia="fr-BE"/>
        </w:rPr>
      </w:pPr>
      <w:r w:rsidRPr="006C0690">
        <w:rPr>
          <w:rFonts w:eastAsia="Times New Roman" w:cs="Times New Roman"/>
          <w:i/>
          <w:lang w:val="en-US" w:eastAsia="fr-BE"/>
        </w:rPr>
        <w:t>b. Information obligations in respect of the FSMA</w:t>
      </w:r>
    </w:p>
    <w:p w:rsidR="00580FAF" w:rsidRPr="006C0690" w:rsidRDefault="00580FAF" w:rsidP="005C78A6">
      <w:pPr>
        <w:tabs>
          <w:tab w:val="left" w:pos="1276"/>
        </w:tabs>
        <w:spacing w:before="120" w:after="0" w:line="240" w:lineRule="auto"/>
        <w:jc w:val="both"/>
        <w:rPr>
          <w:rFonts w:eastAsia="Times New Roman" w:cs="Times New Roman"/>
          <w:lang w:val="en-US" w:eastAsia="fr-BE"/>
        </w:rPr>
      </w:pPr>
      <w:r w:rsidRPr="006C0690">
        <w:rPr>
          <w:rFonts w:eastAsia="Times New Roman" w:cs="Times New Roman"/>
          <w:lang w:val="en-US" w:eastAsia="fr-BE"/>
        </w:rPr>
        <w:t>[…]</w:t>
      </w:r>
    </w:p>
    <w:p w:rsidR="00580FAF" w:rsidRPr="006C0690" w:rsidRDefault="00580FAF" w:rsidP="005C78A6">
      <w:pPr>
        <w:spacing w:before="240" w:after="0" w:line="240" w:lineRule="auto"/>
        <w:jc w:val="both"/>
        <w:rPr>
          <w:rFonts w:eastAsia="Times New Roman" w:cs="EUAlbertina"/>
          <w:b/>
          <w:lang w:val="en-US" w:eastAsia="fr-BE"/>
        </w:rPr>
      </w:pPr>
      <w:r w:rsidRPr="006C0690">
        <w:rPr>
          <w:rFonts w:eastAsia="Times New Roman" w:cs="Times New Roman"/>
          <w:b/>
          <w:lang w:val="en-US" w:eastAsia="fr-BE"/>
        </w:rPr>
        <w:t>Article 63</w:t>
      </w:r>
    </w:p>
    <w:p w:rsidR="00580FAF" w:rsidRPr="006C0690" w:rsidRDefault="00580FAF" w:rsidP="005C78A6">
      <w:pPr>
        <w:spacing w:before="120" w:after="0" w:line="240" w:lineRule="auto"/>
        <w:jc w:val="both"/>
        <w:rPr>
          <w:rFonts w:eastAsia="Times New Roman" w:cs="EUAlbertina"/>
          <w:lang w:val="en-US" w:eastAsia="fr-BE"/>
        </w:rPr>
      </w:pPr>
      <w:r w:rsidRPr="006C0690">
        <w:rPr>
          <w:rFonts w:eastAsia="Times New Roman" w:cs="Times New Roman"/>
          <w:lang w:val="en-US" w:eastAsia="fr-BE"/>
        </w:rPr>
        <w:t>Each AIFM shall report regularly to the FSMA on the principal markets and instruments in which it trades for the account of the AIFs it manages.</w:t>
      </w:r>
    </w:p>
    <w:p w:rsidR="00580FAF" w:rsidRPr="006C0690" w:rsidRDefault="00580FAF" w:rsidP="005C78A6">
      <w:pPr>
        <w:spacing w:before="120" w:after="0" w:line="240" w:lineRule="auto"/>
        <w:jc w:val="both"/>
        <w:outlineLvl w:val="1"/>
        <w:rPr>
          <w:rFonts w:eastAsia="Times New Roman" w:cs="Times New Roman"/>
          <w:lang w:val="en-US" w:eastAsia="fr-BE"/>
        </w:rPr>
      </w:pPr>
      <w:r w:rsidRPr="006C0690">
        <w:rPr>
          <w:rFonts w:eastAsia="Times New Roman" w:cs="Times New Roman"/>
          <w:lang w:val="en-US" w:eastAsia="fr-BE"/>
        </w:rPr>
        <w:t>It shall provide information about the principal instruments in which it trades, the markets of which it is a member or where it trades actively, and about the principal positions and most important concentrations of each of the AIFs it manages.</w:t>
      </w:r>
    </w:p>
    <w:p w:rsidR="00580FAF" w:rsidRPr="006C0690" w:rsidRDefault="00580FAF" w:rsidP="00201F57">
      <w:pPr>
        <w:tabs>
          <w:tab w:val="left" w:pos="284"/>
          <w:tab w:val="left" w:pos="426"/>
          <w:tab w:val="left" w:pos="709"/>
          <w:tab w:val="left" w:pos="851"/>
          <w:tab w:val="left" w:pos="1276"/>
          <w:tab w:val="left" w:pos="2268"/>
          <w:tab w:val="left" w:pos="7938"/>
        </w:tabs>
        <w:spacing w:before="240" w:after="0" w:line="240" w:lineRule="auto"/>
        <w:jc w:val="both"/>
        <w:rPr>
          <w:rFonts w:eastAsia="Times New Roman" w:cs="Times New Roman"/>
          <w:b/>
          <w:lang w:val="en-US" w:eastAsia="fr-BE"/>
        </w:rPr>
      </w:pPr>
      <w:r w:rsidRPr="006C0690">
        <w:rPr>
          <w:rFonts w:eastAsia="Times New Roman" w:cs="Times New Roman"/>
          <w:b/>
          <w:lang w:val="en-US" w:eastAsia="fr-BE"/>
        </w:rPr>
        <w:t>Article 64</w:t>
      </w:r>
    </w:p>
    <w:p w:rsidR="00580FAF" w:rsidRPr="006C0690" w:rsidRDefault="00580FAF" w:rsidP="005C78A6">
      <w:pPr>
        <w:spacing w:before="120" w:after="0" w:line="240" w:lineRule="auto"/>
        <w:jc w:val="both"/>
        <w:rPr>
          <w:rFonts w:eastAsia="Times New Roman" w:cs="Times New Roman"/>
          <w:lang w:val="en-US" w:eastAsia="fr-BE"/>
        </w:rPr>
      </w:pPr>
      <w:r w:rsidRPr="006C0690">
        <w:rPr>
          <w:rFonts w:eastAsia="Times New Roman" w:cs="Times New Roman"/>
          <w:lang w:val="en-US" w:eastAsia="fr-BE"/>
        </w:rPr>
        <w:t>AIFMs shall, for each EU AIF they manage and each AIF they market in the European Economic Area, provide the FSMA with information concerning the following:</w:t>
      </w:r>
    </w:p>
    <w:p w:rsidR="00580FAF" w:rsidRPr="006C0690" w:rsidRDefault="00580FAF" w:rsidP="005C78A6">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xml:space="preserve">1° </w:t>
      </w:r>
      <w:r w:rsidR="005C78A6">
        <w:rPr>
          <w:rFonts w:eastAsia="Times New Roman" w:cs="Times New Roman"/>
          <w:lang w:val="en-US" w:eastAsia="fr-BE"/>
        </w:rPr>
        <w:tab/>
      </w:r>
      <w:r w:rsidRPr="006C0690">
        <w:rPr>
          <w:rFonts w:eastAsia="Times New Roman" w:cs="Times New Roman"/>
          <w:lang w:val="en-US" w:eastAsia="fr-BE"/>
        </w:rPr>
        <w:t>the percentage of the AIF's assets which are subject to special arrangements arising from their illiquid nature;</w:t>
      </w:r>
    </w:p>
    <w:p w:rsidR="00580FAF" w:rsidRPr="006C0690" w:rsidRDefault="00580FAF" w:rsidP="005C78A6">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xml:space="preserve">2° </w:t>
      </w:r>
      <w:r w:rsidR="005C78A6">
        <w:rPr>
          <w:rFonts w:eastAsia="Times New Roman" w:cs="Times New Roman"/>
          <w:lang w:val="en-US" w:eastAsia="fr-BE"/>
        </w:rPr>
        <w:tab/>
      </w:r>
      <w:r w:rsidRPr="006C0690">
        <w:rPr>
          <w:rFonts w:eastAsia="Times New Roman" w:cs="Times New Roman"/>
          <w:lang w:val="en-US" w:eastAsia="fr-BE"/>
        </w:rPr>
        <w:t>any new arrangements for managing the liquidity of the AIF;</w:t>
      </w:r>
    </w:p>
    <w:p w:rsidR="00580FAF" w:rsidRPr="006C0690" w:rsidRDefault="00580FAF" w:rsidP="005C78A6">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xml:space="preserve">3° </w:t>
      </w:r>
      <w:r w:rsidR="005C78A6">
        <w:rPr>
          <w:rFonts w:eastAsia="Times New Roman" w:cs="Times New Roman"/>
          <w:lang w:val="en-US" w:eastAsia="fr-BE"/>
        </w:rPr>
        <w:tab/>
      </w:r>
      <w:r w:rsidRPr="006C0690">
        <w:rPr>
          <w:rFonts w:eastAsia="Times New Roman" w:cs="Times New Roman"/>
          <w:lang w:val="en-US" w:eastAsia="fr-BE"/>
        </w:rPr>
        <w:t>the current risk profile of the AIF and the risk management systems employed by the AIFM to manage the market risk, liquidity risk, counterparty risk and other ri</w:t>
      </w:r>
      <w:r w:rsidR="005C78A6">
        <w:rPr>
          <w:rFonts w:eastAsia="Times New Roman" w:cs="Times New Roman"/>
          <w:lang w:val="en-US" w:eastAsia="fr-BE"/>
        </w:rPr>
        <w:t>sks, including operational risk;</w:t>
      </w:r>
    </w:p>
    <w:p w:rsidR="00580FAF" w:rsidRPr="006C0690" w:rsidRDefault="00580FAF" w:rsidP="005C78A6">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xml:space="preserve">4° </w:t>
      </w:r>
      <w:r w:rsidR="005C78A6">
        <w:rPr>
          <w:rFonts w:eastAsia="Times New Roman" w:cs="Times New Roman"/>
          <w:lang w:val="en-US" w:eastAsia="fr-BE"/>
        </w:rPr>
        <w:tab/>
      </w:r>
      <w:r w:rsidRPr="006C0690">
        <w:rPr>
          <w:rFonts w:eastAsia="Times New Roman" w:cs="Times New Roman"/>
          <w:lang w:val="en-US" w:eastAsia="fr-BE"/>
        </w:rPr>
        <w:t>information on the main categories of assets in which the AIF invested; and</w:t>
      </w:r>
    </w:p>
    <w:p w:rsidR="00580FAF" w:rsidRPr="006C0690" w:rsidRDefault="00580FAF" w:rsidP="005C78A6">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xml:space="preserve">5° </w:t>
      </w:r>
      <w:r w:rsidR="005C78A6">
        <w:rPr>
          <w:rFonts w:eastAsia="Times New Roman" w:cs="Times New Roman"/>
          <w:lang w:val="en-US" w:eastAsia="fr-BE"/>
        </w:rPr>
        <w:tab/>
      </w:r>
      <w:r w:rsidRPr="006C0690">
        <w:rPr>
          <w:rFonts w:eastAsia="Times New Roman" w:cs="Times New Roman"/>
          <w:lang w:val="en-US" w:eastAsia="fr-BE"/>
        </w:rPr>
        <w:t xml:space="preserve">the results of the stress tests conducted in accordance with Article 47, § </w:t>
      </w:r>
      <w:proofErr w:type="gramStart"/>
      <w:r w:rsidRPr="006C0690">
        <w:rPr>
          <w:rFonts w:eastAsia="Times New Roman" w:cs="Times New Roman"/>
          <w:lang w:val="en-US" w:eastAsia="fr-BE"/>
        </w:rPr>
        <w:t>2</w:t>
      </w:r>
      <w:proofErr w:type="gramEnd"/>
      <w:r w:rsidRPr="006C0690">
        <w:rPr>
          <w:rFonts w:eastAsia="Times New Roman" w:cs="Times New Roman"/>
          <w:lang w:val="en-US" w:eastAsia="fr-BE"/>
        </w:rPr>
        <w:t>, 2° and Article 48, § 1.</w:t>
      </w:r>
    </w:p>
    <w:p w:rsidR="00580FAF" w:rsidRPr="006C0690" w:rsidRDefault="00580FAF" w:rsidP="00C34E42">
      <w:pPr>
        <w:spacing w:before="240" w:after="0" w:line="240" w:lineRule="auto"/>
        <w:jc w:val="both"/>
        <w:rPr>
          <w:rFonts w:eastAsia="Times New Roman" w:cs="Times New Roman"/>
          <w:b/>
          <w:lang w:val="en-US" w:eastAsia="fr-BE"/>
        </w:rPr>
      </w:pPr>
      <w:r w:rsidRPr="006C0690">
        <w:rPr>
          <w:rFonts w:eastAsia="Times New Roman" w:cs="Times New Roman"/>
          <w:b/>
          <w:lang w:val="en-US" w:eastAsia="fr-BE"/>
        </w:rPr>
        <w:t>Article 65</w:t>
      </w:r>
    </w:p>
    <w:p w:rsidR="00580FAF" w:rsidRPr="006C0690" w:rsidRDefault="00580FAF" w:rsidP="00C34E42">
      <w:pPr>
        <w:spacing w:before="120" w:after="0" w:line="240" w:lineRule="auto"/>
        <w:jc w:val="both"/>
        <w:rPr>
          <w:rFonts w:eastAsia="Times New Roman" w:cs="Times New Roman"/>
          <w:lang w:val="en-US" w:eastAsia="fr-BE"/>
        </w:rPr>
      </w:pPr>
      <w:r w:rsidRPr="006C0690">
        <w:rPr>
          <w:rFonts w:eastAsia="Times New Roman" w:cs="Times New Roman"/>
          <w:lang w:val="en-US" w:eastAsia="fr-BE"/>
        </w:rPr>
        <w:t xml:space="preserve">Upon request, the AIFM shall submit to the FSMA each quarter a detailed list of all </w:t>
      </w:r>
      <w:proofErr w:type="gramStart"/>
      <w:r w:rsidRPr="006C0690">
        <w:rPr>
          <w:rFonts w:eastAsia="Times New Roman" w:cs="Times New Roman"/>
          <w:lang w:val="en-US" w:eastAsia="fr-BE"/>
        </w:rPr>
        <w:t>AIFs which</w:t>
      </w:r>
      <w:proofErr w:type="gramEnd"/>
      <w:r w:rsidRPr="006C0690">
        <w:rPr>
          <w:rFonts w:eastAsia="Times New Roman" w:cs="Times New Roman"/>
          <w:lang w:val="en-US" w:eastAsia="fr-BE"/>
        </w:rPr>
        <w:t xml:space="preserve"> it manages.</w:t>
      </w:r>
    </w:p>
    <w:p w:rsidR="00580FAF" w:rsidRPr="006C0690" w:rsidRDefault="00580FAF" w:rsidP="00201F57">
      <w:pPr>
        <w:tabs>
          <w:tab w:val="left" w:pos="284"/>
          <w:tab w:val="left" w:pos="426"/>
          <w:tab w:val="left" w:pos="709"/>
          <w:tab w:val="left" w:pos="851"/>
          <w:tab w:val="left" w:pos="1276"/>
          <w:tab w:val="left" w:pos="2268"/>
          <w:tab w:val="left" w:pos="7938"/>
        </w:tabs>
        <w:spacing w:before="240" w:after="0" w:line="240" w:lineRule="auto"/>
        <w:jc w:val="both"/>
        <w:rPr>
          <w:rFonts w:eastAsia="Times New Roman" w:cs="Times New Roman"/>
          <w:b/>
          <w:lang w:val="en-US" w:eastAsia="fr-BE"/>
        </w:rPr>
      </w:pPr>
      <w:r w:rsidRPr="006C0690">
        <w:rPr>
          <w:rFonts w:eastAsia="Times New Roman" w:cs="Times New Roman"/>
          <w:b/>
          <w:lang w:val="en-US" w:eastAsia="fr-BE"/>
        </w:rPr>
        <w:t>Article 66</w:t>
      </w:r>
    </w:p>
    <w:p w:rsidR="00580FAF" w:rsidRPr="006C0690" w:rsidRDefault="00580FAF" w:rsidP="00C34E42">
      <w:pPr>
        <w:spacing w:before="120" w:after="0" w:line="240" w:lineRule="auto"/>
        <w:jc w:val="both"/>
        <w:rPr>
          <w:rFonts w:eastAsia="Times New Roman" w:cs="Times New Roman"/>
          <w:lang w:val="en-US" w:eastAsia="fr-BE"/>
        </w:rPr>
      </w:pPr>
      <w:r w:rsidRPr="006C0690">
        <w:rPr>
          <w:rFonts w:eastAsia="Times New Roman" w:cs="Times New Roman"/>
          <w:lang w:val="en-US" w:eastAsia="fr-BE"/>
        </w:rPr>
        <w:t>AIFMs which employ leverage on a substantial basis shall make available to the FSMA information about the overall level of leverage employed by each AIF it manages, a break-down between leverage arising from borrowing of cash or securities and leverage embedded in financial derivatives and the extent to which the AIF’s assets have been reused under leveraging arrangements.</w:t>
      </w:r>
    </w:p>
    <w:p w:rsidR="00580FAF" w:rsidRPr="006C0690" w:rsidRDefault="00580FAF" w:rsidP="00C34E42">
      <w:pPr>
        <w:spacing w:before="120" w:after="0" w:line="240" w:lineRule="auto"/>
        <w:jc w:val="both"/>
        <w:rPr>
          <w:rFonts w:eastAsia="Times New Roman" w:cs="Times New Roman"/>
          <w:lang w:val="en-US" w:eastAsia="fr-BE"/>
        </w:rPr>
      </w:pPr>
      <w:r w:rsidRPr="006C0690">
        <w:rPr>
          <w:rFonts w:eastAsia="Times New Roman" w:cs="Times New Roman"/>
          <w:lang w:val="en-US" w:eastAsia="fr-BE"/>
        </w:rPr>
        <w:t xml:space="preserve">That information shall include the identity of the five largest sources of borrowed cash or securities for each of the AIFs managed by the AIFM, and the amounts of </w:t>
      </w:r>
      <w:proofErr w:type="gramStart"/>
      <w:r w:rsidRPr="006C0690">
        <w:rPr>
          <w:rFonts w:eastAsia="Times New Roman" w:cs="Times New Roman"/>
          <w:lang w:val="en-US" w:eastAsia="fr-BE"/>
        </w:rPr>
        <w:t>leverage</w:t>
      </w:r>
      <w:proofErr w:type="gramEnd"/>
      <w:r w:rsidRPr="006C0690">
        <w:rPr>
          <w:rFonts w:eastAsia="Times New Roman" w:cs="Times New Roman"/>
          <w:lang w:val="en-US" w:eastAsia="fr-BE"/>
        </w:rPr>
        <w:t xml:space="preserve"> received from each source for each of those AIFs.</w:t>
      </w:r>
    </w:p>
    <w:p w:rsidR="00580FAF" w:rsidRPr="006C0690" w:rsidRDefault="00580FAF" w:rsidP="00C34E42">
      <w:pPr>
        <w:spacing w:before="120" w:after="0" w:line="240" w:lineRule="auto"/>
        <w:jc w:val="both"/>
        <w:rPr>
          <w:rFonts w:eastAsia="Times New Roman" w:cs="Times New Roman"/>
          <w:lang w:val="en-US" w:eastAsia="fr-BE"/>
        </w:rPr>
      </w:pPr>
      <w:r w:rsidRPr="006C0690">
        <w:rPr>
          <w:rFonts w:eastAsia="Times New Roman" w:cs="Times New Roman"/>
          <w:lang w:val="en-US" w:eastAsia="fr-BE"/>
        </w:rPr>
        <w:t xml:space="preserve">For AIFMs established in third countries, the reporting obligations referred to in this article are limited to the EU AIFs they manage, and the third-country AIFs that </w:t>
      </w:r>
      <w:proofErr w:type="gramStart"/>
      <w:r w:rsidRPr="006C0690">
        <w:rPr>
          <w:rFonts w:eastAsia="Times New Roman" w:cs="Times New Roman"/>
          <w:lang w:val="en-US" w:eastAsia="fr-BE"/>
        </w:rPr>
        <w:t>are marketed</w:t>
      </w:r>
      <w:proofErr w:type="gramEnd"/>
      <w:r w:rsidRPr="006C0690">
        <w:rPr>
          <w:rFonts w:eastAsia="Times New Roman" w:cs="Times New Roman"/>
          <w:lang w:val="en-US" w:eastAsia="fr-BE"/>
        </w:rPr>
        <w:t xml:space="preserve"> within the European Economic Area.</w:t>
      </w:r>
    </w:p>
    <w:p w:rsidR="00580FAF" w:rsidRPr="006C0690" w:rsidRDefault="00580FAF" w:rsidP="00C34E42">
      <w:pPr>
        <w:spacing w:before="120" w:after="0" w:line="240" w:lineRule="auto"/>
        <w:jc w:val="both"/>
        <w:rPr>
          <w:rFonts w:eastAsia="Times New Roman" w:cs="Times New Roman"/>
          <w:lang w:val="en-US" w:eastAsia="fr-BE"/>
        </w:rPr>
      </w:pPr>
      <w:r w:rsidRPr="006C0690">
        <w:rPr>
          <w:rFonts w:eastAsia="Times New Roman" w:cs="Times New Roman"/>
          <w:lang w:val="en-US" w:eastAsia="fr-BE"/>
        </w:rPr>
        <w:t>[…]</w:t>
      </w:r>
    </w:p>
    <w:p w:rsidR="00C34E42" w:rsidRDefault="00C34E42">
      <w:pPr>
        <w:spacing w:after="200" w:line="276" w:lineRule="auto"/>
        <w:rPr>
          <w:rFonts w:eastAsia="Times New Roman" w:cs="Times New Roman"/>
          <w:b/>
          <w:lang w:val="en-US" w:eastAsia="fr-BE"/>
        </w:rPr>
      </w:pPr>
      <w:r>
        <w:rPr>
          <w:rFonts w:eastAsia="Times New Roman" w:cs="Times New Roman"/>
          <w:b/>
          <w:lang w:val="en-US" w:eastAsia="fr-BE"/>
        </w:rPr>
        <w:br w:type="page"/>
      </w:r>
    </w:p>
    <w:p w:rsidR="00580FAF" w:rsidRPr="006C0690" w:rsidRDefault="00580FAF" w:rsidP="00C34E42">
      <w:pPr>
        <w:spacing w:before="240" w:after="0" w:line="240" w:lineRule="auto"/>
        <w:jc w:val="both"/>
        <w:rPr>
          <w:rFonts w:eastAsia="Times New Roman" w:cs="Times New Roman"/>
          <w:b/>
          <w:lang w:val="en-US" w:eastAsia="fr-BE"/>
        </w:rPr>
      </w:pPr>
      <w:r w:rsidRPr="006C0690">
        <w:rPr>
          <w:rFonts w:eastAsia="Times New Roman" w:cs="Times New Roman"/>
          <w:b/>
          <w:lang w:val="en-US" w:eastAsia="fr-BE"/>
        </w:rPr>
        <w:lastRenderedPageBreak/>
        <w:t>Article 68</w:t>
      </w:r>
    </w:p>
    <w:p w:rsidR="00580FAF" w:rsidRPr="006C0690" w:rsidRDefault="00C34E42" w:rsidP="00C34E42">
      <w:pPr>
        <w:spacing w:before="120" w:after="0" w:line="240" w:lineRule="auto"/>
        <w:ind w:left="426" w:hanging="426"/>
        <w:jc w:val="both"/>
        <w:outlineLvl w:val="1"/>
        <w:rPr>
          <w:rFonts w:eastAsia="Times New Roman" w:cs="Times New Roman"/>
          <w:lang w:val="en-US" w:eastAsia="fr-BE"/>
        </w:rPr>
      </w:pPr>
      <w:r>
        <w:rPr>
          <w:rFonts w:eastAsia="Times New Roman" w:cs="Times New Roman"/>
          <w:lang w:val="en-US" w:eastAsia="fr-BE"/>
        </w:rPr>
        <w:t xml:space="preserve">§ 1. </w:t>
      </w:r>
      <w:r>
        <w:rPr>
          <w:rFonts w:eastAsia="Times New Roman" w:cs="Times New Roman"/>
          <w:lang w:val="en-US" w:eastAsia="fr-BE"/>
        </w:rPr>
        <w:tab/>
      </w:r>
      <w:r w:rsidR="00580FAF" w:rsidRPr="006C0690">
        <w:rPr>
          <w:rFonts w:eastAsia="Times New Roman" w:cs="Times New Roman"/>
          <w:lang w:val="en-US" w:eastAsia="fr-BE"/>
        </w:rPr>
        <w:t>AIFMs shall, for each of the EU AIFs that they manage and for each of the AIFs that they market in the European Economic Area, make available to the AIF's unit-holders before they invest in the AIF, in accordance with the AIF rules or instruments of incorporation, the following information, as well as any material changes thereto:</w:t>
      </w:r>
    </w:p>
    <w:p w:rsidR="00580FAF" w:rsidRPr="006C0690" w:rsidRDefault="00580FAF" w:rsidP="00C34E42">
      <w:pPr>
        <w:spacing w:before="120" w:after="0" w:line="240" w:lineRule="auto"/>
        <w:ind w:left="851" w:hanging="425"/>
        <w:jc w:val="both"/>
        <w:outlineLvl w:val="1"/>
        <w:rPr>
          <w:rFonts w:eastAsia="Times New Roman" w:cs="Times New Roman"/>
          <w:lang w:val="en-US" w:eastAsia="fr-BE"/>
        </w:rPr>
      </w:pPr>
      <w:proofErr w:type="gramStart"/>
      <w:r w:rsidRPr="006C0690">
        <w:rPr>
          <w:rFonts w:eastAsia="Times New Roman" w:cs="Times New Roman"/>
          <w:lang w:val="en-US" w:eastAsia="fr-BE"/>
        </w:rPr>
        <w:t xml:space="preserve">1° </w:t>
      </w:r>
      <w:r w:rsidR="00C34E42">
        <w:rPr>
          <w:rFonts w:eastAsia="Times New Roman" w:cs="Times New Roman"/>
          <w:lang w:val="en-US" w:eastAsia="fr-BE"/>
        </w:rPr>
        <w:tab/>
      </w:r>
      <w:r w:rsidRPr="006C0690">
        <w:rPr>
          <w:rFonts w:eastAsia="Times New Roman" w:cs="Times New Roman"/>
          <w:lang w:val="en-US" w:eastAsia="fr-BE"/>
        </w:rPr>
        <w:t>a description of the investment strategy and objectives of the AIF, information on where any master AIF is established and where the underlying funds are established if the AIF is a fund of funds, 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any collateral and asset reuse arrangements, and the maximum level of leverage which the AIFM is entitled to employ on behalf of the AIF;</w:t>
      </w:r>
      <w:proofErr w:type="gramEnd"/>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2° </w:t>
      </w:r>
      <w:r w:rsidR="00C34E42">
        <w:rPr>
          <w:rFonts w:eastAsia="Times New Roman" w:cs="Times New Roman"/>
          <w:lang w:val="en-US" w:eastAsia="fr-BE"/>
        </w:rPr>
        <w:tab/>
      </w:r>
      <w:r w:rsidRPr="006C0690">
        <w:rPr>
          <w:rFonts w:eastAsia="Times New Roman" w:cs="Times New Roman"/>
          <w:lang w:val="en-US" w:eastAsia="fr-BE"/>
        </w:rPr>
        <w:t>a description of the procedures by which the AIF may change its investment strategy or investment policy, or both;</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3° </w:t>
      </w:r>
      <w:r w:rsidR="00C34E42">
        <w:rPr>
          <w:rFonts w:eastAsia="Times New Roman" w:cs="Times New Roman"/>
          <w:lang w:val="en-US" w:eastAsia="fr-BE"/>
        </w:rPr>
        <w:tab/>
      </w:r>
      <w:r w:rsidRPr="006C0690">
        <w:rPr>
          <w:rFonts w:eastAsia="Times New Roman" w:cs="Times New Roman"/>
          <w:lang w:val="en-US" w:eastAsia="fr-BE"/>
        </w:rPr>
        <w:t>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4° </w:t>
      </w:r>
      <w:r w:rsidR="00C34E42">
        <w:rPr>
          <w:rFonts w:eastAsia="Times New Roman" w:cs="Times New Roman"/>
          <w:lang w:val="en-US" w:eastAsia="fr-BE"/>
        </w:rPr>
        <w:tab/>
      </w:r>
      <w:r w:rsidRPr="006C0690">
        <w:rPr>
          <w:rFonts w:eastAsia="Times New Roman" w:cs="Times New Roman"/>
          <w:lang w:val="en-US" w:eastAsia="fr-BE"/>
        </w:rPr>
        <w:t>the identity of the AIFM, the AIF's depositary, auditor and any other service providers, as well as a description of their duties and the unit-holders' rights;</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5° </w:t>
      </w:r>
      <w:r w:rsidR="00C34E42">
        <w:rPr>
          <w:rFonts w:eastAsia="Times New Roman" w:cs="Times New Roman"/>
          <w:lang w:val="en-US" w:eastAsia="fr-BE"/>
        </w:rPr>
        <w:tab/>
      </w:r>
      <w:r w:rsidRPr="006C0690">
        <w:rPr>
          <w:rFonts w:eastAsia="Times New Roman" w:cs="Times New Roman"/>
          <w:lang w:val="en-US" w:eastAsia="fr-BE"/>
        </w:rPr>
        <w:t>a description of how the AIFM is complying with the requirements of Article 22, § 5;</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6° </w:t>
      </w:r>
      <w:r w:rsidR="00C34E42">
        <w:rPr>
          <w:rFonts w:eastAsia="Times New Roman" w:cs="Times New Roman"/>
          <w:lang w:val="en-US" w:eastAsia="fr-BE"/>
        </w:rPr>
        <w:tab/>
      </w:r>
      <w:r w:rsidRPr="006C0690">
        <w:rPr>
          <w:rFonts w:eastAsia="Times New Roman" w:cs="Times New Roman"/>
          <w:lang w:val="en-US" w:eastAsia="fr-BE"/>
        </w:rPr>
        <w:t>a description of any management tasks as referred to in Article 3, 41° that the AIFM has delegated and of any safe-keeping function delegated by the depositary, the identification of the delegate and any conflicts of interest that may arise from such delegations;</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7° </w:t>
      </w:r>
      <w:r w:rsidR="00C34E42">
        <w:rPr>
          <w:rFonts w:eastAsia="Times New Roman" w:cs="Times New Roman"/>
          <w:lang w:val="en-US" w:eastAsia="fr-BE"/>
        </w:rPr>
        <w:tab/>
      </w:r>
      <w:r w:rsidRPr="006C0690">
        <w:rPr>
          <w:rFonts w:eastAsia="Times New Roman" w:cs="Times New Roman"/>
          <w:lang w:val="en-US" w:eastAsia="fr-BE"/>
        </w:rPr>
        <w:t>a description of the AIF's valuation procedure and of the pricing methodology for valuing assets, including the methods used in hard-to-value assets in accordance with Articles 49 and 50</w:t>
      </w:r>
      <w:proofErr w:type="gramStart"/>
      <w:r w:rsidRPr="006C0690">
        <w:rPr>
          <w:rFonts w:eastAsia="Times New Roman" w:cs="Times New Roman"/>
          <w:lang w:val="en-US" w:eastAsia="fr-BE"/>
        </w:rPr>
        <w:t>;</w:t>
      </w:r>
      <w:proofErr w:type="gramEnd"/>
    </w:p>
    <w:p w:rsidR="00580FAF" w:rsidRPr="006C0690" w:rsidRDefault="00580FAF" w:rsidP="00C34E42">
      <w:pPr>
        <w:keepNext/>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8° </w:t>
      </w:r>
      <w:r w:rsidR="00C34E42">
        <w:rPr>
          <w:rFonts w:eastAsia="Times New Roman" w:cs="Times New Roman"/>
          <w:lang w:val="en-US" w:eastAsia="fr-BE"/>
        </w:rPr>
        <w:tab/>
      </w:r>
      <w:r w:rsidRPr="006C0690">
        <w:rPr>
          <w:rFonts w:eastAsia="Times New Roman" w:cs="Times New Roman"/>
          <w:lang w:val="en-US" w:eastAsia="fr-BE"/>
        </w:rPr>
        <w:t>a description of the AIF's liquidity risk management, including the redemption rights both in normal and in exceptional circumstances, and the existing redemption arrangements with unit-holders</w:t>
      </w:r>
      <w:proofErr w:type="gramStart"/>
      <w:r w:rsidRPr="006C0690">
        <w:rPr>
          <w:rFonts w:eastAsia="Times New Roman" w:cs="Times New Roman"/>
          <w:lang w:val="en-US" w:eastAsia="fr-BE"/>
        </w:rPr>
        <w:t>;</w:t>
      </w:r>
      <w:proofErr w:type="gramEnd"/>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9° </w:t>
      </w:r>
      <w:r w:rsidR="00C34E42">
        <w:rPr>
          <w:rFonts w:eastAsia="Times New Roman" w:cs="Times New Roman"/>
          <w:lang w:val="en-US" w:eastAsia="fr-BE"/>
        </w:rPr>
        <w:tab/>
      </w:r>
      <w:r w:rsidRPr="006C0690">
        <w:rPr>
          <w:rFonts w:eastAsia="Times New Roman" w:cs="Times New Roman"/>
          <w:lang w:val="en-US" w:eastAsia="fr-BE"/>
        </w:rPr>
        <w:t xml:space="preserve">a description of all fees, charges and expenses and of the maximum amounts </w:t>
      </w:r>
      <w:proofErr w:type="gramStart"/>
      <w:r w:rsidRPr="006C0690">
        <w:rPr>
          <w:rFonts w:eastAsia="Times New Roman" w:cs="Times New Roman"/>
          <w:lang w:val="en-US" w:eastAsia="fr-BE"/>
        </w:rPr>
        <w:t>thereof which</w:t>
      </w:r>
      <w:proofErr w:type="gramEnd"/>
      <w:r w:rsidRPr="006C0690">
        <w:rPr>
          <w:rFonts w:eastAsia="Times New Roman" w:cs="Times New Roman"/>
          <w:lang w:val="en-US" w:eastAsia="fr-BE"/>
        </w:rPr>
        <w:t xml:space="preserve"> are directly or indirectly borne by unit-holders;</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10° </w:t>
      </w:r>
      <w:r w:rsidR="00C34E42">
        <w:rPr>
          <w:rFonts w:eastAsia="Times New Roman" w:cs="Times New Roman"/>
          <w:lang w:val="en-US" w:eastAsia="fr-BE"/>
        </w:rPr>
        <w:tab/>
      </w:r>
      <w:r w:rsidRPr="006C0690">
        <w:rPr>
          <w:rFonts w:eastAsia="Times New Roman" w:cs="Times New Roman"/>
          <w:lang w:val="en-US" w:eastAsia="fr-BE"/>
        </w:rPr>
        <w:t>a description of how the AIFM ensures a fair treatment of unit-holders and, whenever a unit-holder obtains preferential treatment or the right to obtain preferential treatment, a description of that preferential treatment, the types of unit-holders who obtain such preferential treatment and, where relevant, their legal or economic links with the AIF or AIFM;</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11° </w:t>
      </w:r>
      <w:r w:rsidR="00C34E42">
        <w:rPr>
          <w:rFonts w:eastAsia="Times New Roman" w:cs="Times New Roman"/>
          <w:lang w:val="en-US" w:eastAsia="fr-BE"/>
        </w:rPr>
        <w:tab/>
      </w:r>
      <w:r w:rsidRPr="006C0690">
        <w:rPr>
          <w:rFonts w:eastAsia="Times New Roman" w:cs="Times New Roman"/>
          <w:lang w:val="en-US" w:eastAsia="fr-BE"/>
        </w:rPr>
        <w:t>the latest annual report</w:t>
      </w:r>
      <w:proofErr w:type="gramStart"/>
      <w:r w:rsidRPr="006C0690">
        <w:rPr>
          <w:rFonts w:eastAsia="Times New Roman" w:cs="Times New Roman"/>
          <w:lang w:val="en-US" w:eastAsia="fr-BE"/>
        </w:rPr>
        <w:t>;</w:t>
      </w:r>
      <w:proofErr w:type="gramEnd"/>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12° </w:t>
      </w:r>
      <w:r w:rsidR="00C34E42">
        <w:rPr>
          <w:rFonts w:eastAsia="Times New Roman" w:cs="Times New Roman"/>
          <w:lang w:val="en-US" w:eastAsia="fr-BE"/>
        </w:rPr>
        <w:tab/>
      </w:r>
      <w:r w:rsidRPr="006C0690">
        <w:rPr>
          <w:rFonts w:eastAsia="Times New Roman" w:cs="Times New Roman"/>
          <w:lang w:val="en-US" w:eastAsia="fr-BE"/>
        </w:rPr>
        <w:t>the procedure and conditions for the issue and sale of units;</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13° </w:t>
      </w:r>
      <w:r w:rsidR="00C34E42">
        <w:rPr>
          <w:rFonts w:eastAsia="Times New Roman" w:cs="Times New Roman"/>
          <w:lang w:val="en-US" w:eastAsia="fr-BE"/>
        </w:rPr>
        <w:tab/>
      </w:r>
      <w:r w:rsidRPr="006C0690">
        <w:rPr>
          <w:rFonts w:eastAsia="Times New Roman" w:cs="Times New Roman"/>
          <w:lang w:val="en-US" w:eastAsia="fr-BE"/>
        </w:rPr>
        <w:t>the latest net asset value of the AIF or the latest market price of the unit of the AIF, in accordance with Articles 49 and 50;</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14° </w:t>
      </w:r>
      <w:r w:rsidR="00C34E42">
        <w:rPr>
          <w:rFonts w:eastAsia="Times New Roman" w:cs="Times New Roman"/>
          <w:lang w:val="en-US" w:eastAsia="fr-BE"/>
        </w:rPr>
        <w:tab/>
      </w:r>
      <w:r w:rsidRPr="006C0690">
        <w:rPr>
          <w:rFonts w:eastAsia="Times New Roman" w:cs="Times New Roman"/>
          <w:lang w:val="en-US" w:eastAsia="fr-BE"/>
        </w:rPr>
        <w:t>where available, the historical performance of the AIF;</w:t>
      </w:r>
    </w:p>
    <w:p w:rsidR="00580FAF" w:rsidRPr="006C0690" w:rsidRDefault="00580FAF" w:rsidP="00C34E42">
      <w:pPr>
        <w:spacing w:before="120" w:after="0" w:line="240" w:lineRule="auto"/>
        <w:ind w:left="851" w:hanging="425"/>
        <w:jc w:val="both"/>
        <w:rPr>
          <w:rFonts w:eastAsia="Times New Roman" w:cs="Times New Roman"/>
          <w:b/>
          <w:bCs/>
          <w:lang w:val="en-US" w:eastAsia="fr-BE"/>
        </w:rPr>
      </w:pPr>
      <w:proofErr w:type="gramStart"/>
      <w:r w:rsidRPr="006C0690">
        <w:rPr>
          <w:rFonts w:eastAsia="Times New Roman" w:cs="Times New Roman"/>
          <w:lang w:val="en-US" w:eastAsia="fr-BE"/>
        </w:rPr>
        <w:lastRenderedPageBreak/>
        <w:t xml:space="preserve">15° </w:t>
      </w:r>
      <w:r w:rsidR="00C34E42">
        <w:rPr>
          <w:rFonts w:eastAsia="Times New Roman" w:cs="Times New Roman"/>
          <w:lang w:val="en-US" w:eastAsia="fr-BE"/>
        </w:rPr>
        <w:tab/>
      </w:r>
      <w:r w:rsidRPr="006C0690">
        <w:rPr>
          <w:rFonts w:eastAsia="Times New Roman" w:cs="Times New Roman"/>
          <w:lang w:val="en-US" w:eastAsia="fr-BE"/>
        </w:rPr>
        <w:t>the identity of the prime broker, a description of any material arrangements with the prime brokers and the way the conflicts of interest in relation thereto are managed, the provision in the contract with the depositary on the possibility of transfer and reuse of AIF assets, and information about any transfer of liability to the prime broker that may exist;</w:t>
      </w:r>
      <w:proofErr w:type="gramEnd"/>
    </w:p>
    <w:p w:rsidR="00580FAF" w:rsidRPr="006C0690" w:rsidRDefault="00580FAF" w:rsidP="00C34E42">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16° </w:t>
      </w:r>
      <w:r w:rsidR="00C34E42">
        <w:rPr>
          <w:rFonts w:eastAsia="Times New Roman" w:cs="Times New Roman"/>
          <w:lang w:val="en-US" w:eastAsia="fr-BE"/>
        </w:rPr>
        <w:tab/>
      </w:r>
      <w:r w:rsidRPr="006C0690">
        <w:rPr>
          <w:rFonts w:eastAsia="Times New Roman" w:cs="Times New Roman"/>
          <w:lang w:val="en-US" w:eastAsia="fr-BE"/>
        </w:rPr>
        <w:t xml:space="preserve">a description of how and when the information required under Articles 71 and 72 </w:t>
      </w:r>
      <w:proofErr w:type="gramStart"/>
      <w:r w:rsidRPr="006C0690">
        <w:rPr>
          <w:rFonts w:eastAsia="Times New Roman" w:cs="Times New Roman"/>
          <w:lang w:val="en-US" w:eastAsia="fr-BE"/>
        </w:rPr>
        <w:t>will be disclosed</w:t>
      </w:r>
      <w:proofErr w:type="gramEnd"/>
      <w:r w:rsidRPr="006C0690">
        <w:rPr>
          <w:rFonts w:eastAsia="Times New Roman" w:cs="Times New Roman"/>
          <w:lang w:val="en-US" w:eastAsia="fr-BE"/>
        </w:rPr>
        <w:t>.</w:t>
      </w:r>
    </w:p>
    <w:p w:rsidR="00580FAF" w:rsidRPr="006C0690" w:rsidRDefault="00C34E42" w:rsidP="00C34E42">
      <w:pPr>
        <w:spacing w:before="120" w:after="0" w:line="240" w:lineRule="auto"/>
        <w:ind w:left="426" w:hanging="426"/>
        <w:jc w:val="both"/>
        <w:rPr>
          <w:rFonts w:eastAsia="Times New Roman" w:cs="Times New Roman"/>
          <w:lang w:val="en-US" w:eastAsia="fr-BE"/>
        </w:rPr>
      </w:pPr>
      <w:r>
        <w:rPr>
          <w:rFonts w:eastAsia="Times New Roman" w:cs="Times New Roman"/>
          <w:lang w:val="en-US" w:eastAsia="fr-BE"/>
        </w:rPr>
        <w:t xml:space="preserve">§ 2. </w:t>
      </w:r>
      <w:r>
        <w:rPr>
          <w:rFonts w:eastAsia="Times New Roman" w:cs="Times New Roman"/>
          <w:lang w:val="en-US" w:eastAsia="fr-BE"/>
        </w:rPr>
        <w:tab/>
      </w:r>
      <w:r w:rsidR="00580FAF" w:rsidRPr="006C0690">
        <w:rPr>
          <w:rFonts w:eastAsia="Times New Roman" w:cs="Times New Roman"/>
          <w:lang w:val="en-US" w:eastAsia="fr-BE"/>
        </w:rPr>
        <w:t>The King may, by a decree issued upon the recommendation of the FSMA, extend all or some of the requirements regarding the Key Investor Document that apply to public AIFs to the non-public AIFs referred to in this chapter whose units are marketed to retail investors.</w:t>
      </w:r>
    </w:p>
    <w:p w:rsidR="00580FAF" w:rsidRPr="006C0690" w:rsidRDefault="00580FAF" w:rsidP="00C34E42">
      <w:pPr>
        <w:spacing w:before="120" w:after="0" w:line="240" w:lineRule="auto"/>
        <w:ind w:left="426"/>
        <w:jc w:val="both"/>
        <w:rPr>
          <w:rFonts w:eastAsia="Times New Roman" w:cs="Times New Roman"/>
          <w:lang w:val="en-US" w:eastAsia="fr-BE"/>
        </w:rPr>
      </w:pPr>
      <w:r w:rsidRPr="006C0690">
        <w:rPr>
          <w:rFonts w:eastAsia="Times New Roman" w:cs="Times New Roman"/>
          <w:lang w:val="en-US" w:eastAsia="fr-BE"/>
        </w:rPr>
        <w:t>Moreover, in accordance with the conditions set out in these provisions, the application of the decrees and regulations issued pursuant to Articles 30</w:t>
      </w:r>
      <w:r w:rsidRPr="006C0690">
        <w:rPr>
          <w:rFonts w:eastAsia="Times New Roman" w:cs="Times New Roman"/>
          <w:i/>
          <w:lang w:val="en-US" w:eastAsia="fr-BE"/>
        </w:rPr>
        <w:t>bis</w:t>
      </w:r>
      <w:r w:rsidRPr="006C0690">
        <w:rPr>
          <w:rFonts w:eastAsia="Times New Roman" w:cs="Times New Roman"/>
          <w:lang w:val="en-US" w:eastAsia="fr-BE"/>
        </w:rPr>
        <w:t xml:space="preserve"> and 45, § 2 of the Law of 2 August 2002 may be extended by the FSMA or by the King to non-public AIFs whose units are marketed to retail investors.</w:t>
      </w:r>
    </w:p>
    <w:p w:rsidR="00580FAF" w:rsidRPr="006C0690" w:rsidRDefault="00580FAF" w:rsidP="00C34E42">
      <w:pPr>
        <w:spacing w:before="240" w:after="0" w:line="240" w:lineRule="auto"/>
        <w:jc w:val="both"/>
        <w:rPr>
          <w:rFonts w:eastAsia="Times New Roman" w:cs="Times New Roman"/>
          <w:b/>
          <w:bCs/>
          <w:lang w:val="en-US" w:eastAsia="fr-BE"/>
        </w:rPr>
      </w:pPr>
      <w:r w:rsidRPr="006C0690">
        <w:rPr>
          <w:rFonts w:eastAsia="Times New Roman" w:cs="Times New Roman"/>
          <w:b/>
          <w:lang w:val="en-US" w:eastAsia="fr-BE"/>
        </w:rPr>
        <w:t>Article 69</w:t>
      </w:r>
    </w:p>
    <w:p w:rsidR="00580FAF" w:rsidRPr="006C0690" w:rsidRDefault="00580FAF" w:rsidP="00C34E42">
      <w:pPr>
        <w:spacing w:before="120" w:after="0" w:line="240" w:lineRule="auto"/>
        <w:jc w:val="both"/>
        <w:rPr>
          <w:rFonts w:eastAsia="Times New Roman" w:cs="Times New Roman"/>
          <w:b/>
          <w:bCs/>
          <w:lang w:val="en-US" w:eastAsia="fr-BE"/>
        </w:rPr>
      </w:pPr>
      <w:r w:rsidRPr="006C0690">
        <w:rPr>
          <w:rFonts w:eastAsia="Times New Roman" w:cs="Times New Roman"/>
          <w:lang w:val="en-US" w:eastAsia="fr-BE"/>
        </w:rPr>
        <w:t xml:space="preserve">The AIFM shall inform unit-holders before they invest in the AIF of any arrangement made by the depositary to contractually discharge itself of liability in accordance with Article 58, § 2. The AIFM shall also inform unit-holders </w:t>
      </w:r>
      <w:proofErr w:type="gramStart"/>
      <w:r w:rsidRPr="006C0690">
        <w:rPr>
          <w:rFonts w:eastAsia="Times New Roman" w:cs="Times New Roman"/>
          <w:lang w:val="en-US" w:eastAsia="fr-BE"/>
        </w:rPr>
        <w:t>without delay</w:t>
      </w:r>
      <w:proofErr w:type="gramEnd"/>
      <w:r w:rsidRPr="006C0690">
        <w:rPr>
          <w:rFonts w:eastAsia="Times New Roman" w:cs="Times New Roman"/>
          <w:lang w:val="en-US" w:eastAsia="fr-BE"/>
        </w:rPr>
        <w:t xml:space="preserve"> of any changes with respect to depositary liability.</w:t>
      </w:r>
    </w:p>
    <w:p w:rsidR="00580FAF" w:rsidRPr="006C0690" w:rsidRDefault="00580FAF" w:rsidP="00C34E42">
      <w:pPr>
        <w:tabs>
          <w:tab w:val="left" w:pos="284"/>
        </w:tabs>
        <w:spacing w:before="240" w:after="0" w:line="240" w:lineRule="auto"/>
        <w:jc w:val="both"/>
        <w:rPr>
          <w:rFonts w:eastAsia="Times New Roman" w:cs="Times New Roman"/>
          <w:b/>
          <w:bCs/>
          <w:lang w:val="en-US" w:eastAsia="fr-BE"/>
        </w:rPr>
      </w:pPr>
      <w:r w:rsidRPr="006C0690">
        <w:rPr>
          <w:rFonts w:eastAsia="Times New Roman" w:cs="Times New Roman"/>
          <w:b/>
          <w:lang w:val="en-US" w:eastAsia="fr-BE"/>
        </w:rPr>
        <w:t>Article 70</w:t>
      </w:r>
    </w:p>
    <w:p w:rsidR="00580FAF" w:rsidRPr="006C0690" w:rsidRDefault="00580FAF" w:rsidP="00C34E42">
      <w:pPr>
        <w:tabs>
          <w:tab w:val="left" w:pos="284"/>
        </w:tabs>
        <w:spacing w:before="120" w:after="0" w:line="240" w:lineRule="auto"/>
        <w:jc w:val="both"/>
        <w:rPr>
          <w:rFonts w:eastAsia="Times New Roman" w:cs="Times New Roman"/>
          <w:b/>
          <w:bCs/>
          <w:lang w:val="en-US" w:eastAsia="fr-BE"/>
        </w:rPr>
      </w:pPr>
      <w:r w:rsidRPr="006C0690">
        <w:rPr>
          <w:rFonts w:eastAsia="Times New Roman" w:cs="Times New Roman"/>
          <w:lang w:val="en-US" w:eastAsia="fr-BE"/>
        </w:rPr>
        <w:t xml:space="preserve">Where the AIF is required to publish a prospectus in accordance with Directive 2003/71/EC or with national law, only such information referred to in Article </w:t>
      </w:r>
      <w:proofErr w:type="gramStart"/>
      <w:r w:rsidRPr="006C0690">
        <w:rPr>
          <w:rFonts w:eastAsia="Times New Roman" w:cs="Times New Roman"/>
          <w:lang w:val="en-US" w:eastAsia="fr-BE"/>
        </w:rPr>
        <w:t>68 which is in addition to that contained in the prospectus</w:t>
      </w:r>
      <w:proofErr w:type="gramEnd"/>
      <w:r w:rsidRPr="006C0690">
        <w:rPr>
          <w:rFonts w:eastAsia="Times New Roman" w:cs="Times New Roman"/>
          <w:lang w:val="en-US" w:eastAsia="fr-BE"/>
        </w:rPr>
        <w:t xml:space="preserve"> needs to be disclosed separately or as additional information in the prospectus.</w:t>
      </w:r>
    </w:p>
    <w:p w:rsidR="00580FAF" w:rsidRPr="006C0690" w:rsidRDefault="00580FAF" w:rsidP="00C34E42">
      <w:pPr>
        <w:spacing w:before="240" w:after="0" w:line="240" w:lineRule="auto"/>
        <w:jc w:val="both"/>
        <w:rPr>
          <w:rFonts w:eastAsia="Times New Roman" w:cs="Times New Roman"/>
          <w:b/>
          <w:lang w:val="en-US" w:eastAsia="fr-BE"/>
        </w:rPr>
      </w:pPr>
      <w:r w:rsidRPr="006C0690">
        <w:rPr>
          <w:rFonts w:eastAsia="Times New Roman" w:cs="Times New Roman"/>
          <w:b/>
          <w:lang w:val="en-US" w:eastAsia="fr-BE"/>
        </w:rPr>
        <w:t>Article 71</w:t>
      </w:r>
    </w:p>
    <w:p w:rsidR="00580FAF" w:rsidRPr="006C0690" w:rsidRDefault="00580FAF" w:rsidP="00C34E42">
      <w:pPr>
        <w:spacing w:before="120" w:after="0" w:line="240" w:lineRule="auto"/>
        <w:jc w:val="both"/>
        <w:rPr>
          <w:rFonts w:eastAsia="Times New Roman" w:cs="Times New Roman"/>
          <w:b/>
          <w:bCs/>
          <w:lang w:val="en-US" w:eastAsia="fr-BE"/>
        </w:rPr>
      </w:pPr>
      <w:r w:rsidRPr="006C0690">
        <w:rPr>
          <w:rFonts w:eastAsia="Times New Roman" w:cs="Times New Roman"/>
          <w:lang w:val="en-US" w:eastAsia="fr-BE"/>
        </w:rPr>
        <w:t xml:space="preserve">AIFMs shall, for each of the EU AIFs they manage and for each of the AIFs that they market in the European Economic Area, periodically disclose to unit-holders information </w:t>
      </w:r>
      <w:proofErr w:type="gramStart"/>
      <w:r w:rsidRPr="006C0690">
        <w:rPr>
          <w:rFonts w:eastAsia="Times New Roman" w:cs="Times New Roman"/>
          <w:lang w:val="en-US" w:eastAsia="fr-BE"/>
        </w:rPr>
        <w:t>on</w:t>
      </w:r>
      <w:proofErr w:type="gramEnd"/>
      <w:r w:rsidRPr="006C0690">
        <w:rPr>
          <w:rFonts w:eastAsia="Times New Roman" w:cs="Times New Roman"/>
          <w:lang w:val="en-US" w:eastAsia="fr-BE"/>
        </w:rPr>
        <w:t>:</w:t>
      </w:r>
    </w:p>
    <w:p w:rsidR="00580FAF" w:rsidRPr="006C0690" w:rsidRDefault="00580FAF" w:rsidP="004F3AD8">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xml:space="preserve">1° </w:t>
      </w:r>
      <w:r w:rsidR="004F3AD8">
        <w:rPr>
          <w:rFonts w:eastAsia="Times New Roman" w:cs="Times New Roman"/>
          <w:lang w:val="en-US" w:eastAsia="fr-BE"/>
        </w:rPr>
        <w:tab/>
      </w:r>
      <w:r w:rsidRPr="006C0690">
        <w:rPr>
          <w:rFonts w:eastAsia="Times New Roman" w:cs="Times New Roman"/>
          <w:lang w:val="en-US" w:eastAsia="fr-BE"/>
        </w:rPr>
        <w:t>the percentage of the AIF's assets which are subject to special arrangements arising from their illiquid nature;</w:t>
      </w:r>
    </w:p>
    <w:p w:rsidR="00580FAF" w:rsidRPr="006C0690" w:rsidRDefault="00580FAF" w:rsidP="004F3AD8">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xml:space="preserve">2° </w:t>
      </w:r>
      <w:r w:rsidR="004F3AD8">
        <w:rPr>
          <w:rFonts w:eastAsia="Times New Roman" w:cs="Times New Roman"/>
          <w:lang w:val="en-US" w:eastAsia="fr-BE"/>
        </w:rPr>
        <w:tab/>
      </w:r>
      <w:r w:rsidRPr="006C0690">
        <w:rPr>
          <w:rFonts w:eastAsia="Times New Roman" w:cs="Times New Roman"/>
          <w:lang w:val="en-US" w:eastAsia="fr-BE"/>
        </w:rPr>
        <w:t>any new arrangements for managing the liquidity of the AIF;</w:t>
      </w:r>
    </w:p>
    <w:p w:rsidR="00580FAF" w:rsidRPr="006C0690" w:rsidRDefault="00580FAF" w:rsidP="004F3AD8">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xml:space="preserve">3° </w:t>
      </w:r>
      <w:r w:rsidR="004F3AD8">
        <w:rPr>
          <w:rFonts w:eastAsia="Times New Roman" w:cs="Times New Roman"/>
          <w:lang w:val="en-US" w:eastAsia="fr-BE"/>
        </w:rPr>
        <w:tab/>
      </w:r>
      <w:r w:rsidRPr="006C0690">
        <w:rPr>
          <w:rFonts w:eastAsia="Times New Roman" w:cs="Times New Roman"/>
          <w:lang w:val="en-US" w:eastAsia="fr-BE"/>
        </w:rPr>
        <w:t>the current risk profile of the AIF and the risk management systems employed by the AIF to manage those risks.</w:t>
      </w:r>
    </w:p>
    <w:p w:rsidR="00580FAF" w:rsidRPr="006C0690" w:rsidRDefault="00580FAF" w:rsidP="004F3AD8">
      <w:pPr>
        <w:spacing w:before="240" w:after="0" w:line="240" w:lineRule="auto"/>
        <w:jc w:val="both"/>
        <w:rPr>
          <w:rFonts w:eastAsia="Times New Roman" w:cs="Times New Roman"/>
          <w:b/>
          <w:bCs/>
          <w:lang w:val="en-US" w:eastAsia="fr-BE"/>
        </w:rPr>
      </w:pPr>
      <w:r w:rsidRPr="006C0690">
        <w:rPr>
          <w:rFonts w:eastAsia="Times New Roman" w:cs="Times New Roman"/>
          <w:b/>
          <w:lang w:val="en-US" w:eastAsia="fr-BE"/>
        </w:rPr>
        <w:t>Article 72</w:t>
      </w:r>
    </w:p>
    <w:p w:rsidR="00580FAF" w:rsidRPr="006C0690" w:rsidRDefault="00580FAF" w:rsidP="004F3AD8">
      <w:pPr>
        <w:spacing w:before="120" w:after="0" w:line="240" w:lineRule="auto"/>
        <w:jc w:val="both"/>
        <w:rPr>
          <w:rFonts w:eastAsia="Times New Roman" w:cs="Times New Roman"/>
          <w:lang w:val="en-US" w:eastAsia="fr-BE"/>
        </w:rPr>
      </w:pPr>
      <w:r w:rsidRPr="006C0690">
        <w:rPr>
          <w:rFonts w:eastAsia="Times New Roman" w:cs="Times New Roman"/>
          <w:lang w:val="en-US" w:eastAsia="fr-BE"/>
        </w:rPr>
        <w:t xml:space="preserve">AIFMs managing EU AIFs employing </w:t>
      </w:r>
      <w:proofErr w:type="gramStart"/>
      <w:r w:rsidRPr="006C0690">
        <w:rPr>
          <w:rFonts w:eastAsia="Times New Roman" w:cs="Times New Roman"/>
          <w:lang w:val="en-US" w:eastAsia="fr-BE"/>
        </w:rPr>
        <w:t>leverage</w:t>
      </w:r>
      <w:proofErr w:type="gramEnd"/>
      <w:r w:rsidRPr="006C0690">
        <w:rPr>
          <w:rFonts w:eastAsia="Times New Roman" w:cs="Times New Roman"/>
          <w:lang w:val="en-US" w:eastAsia="fr-BE"/>
        </w:rPr>
        <w:t xml:space="preserve"> or marketing in the EEA AIFs employing leverage shall, for each such AIF, disclose on a regular basis:</w:t>
      </w:r>
    </w:p>
    <w:p w:rsidR="00580FAF" w:rsidRPr="006C0690" w:rsidRDefault="00580FAF" w:rsidP="004F3AD8">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xml:space="preserve">1° </w:t>
      </w:r>
      <w:r w:rsidR="004F3AD8">
        <w:rPr>
          <w:rFonts w:eastAsia="Times New Roman" w:cs="Times New Roman"/>
          <w:lang w:val="en-US" w:eastAsia="fr-BE"/>
        </w:rPr>
        <w:tab/>
      </w:r>
      <w:r w:rsidRPr="006C0690">
        <w:rPr>
          <w:rFonts w:eastAsia="Times New Roman" w:cs="Times New Roman"/>
          <w:lang w:val="en-US" w:eastAsia="fr-BE"/>
        </w:rPr>
        <w:t>any changes to the maximum level of leverage which the AIFM may employ on behalf of the AIF, as well as any right to reuse collateral or any guarantee granted under the leveraging arrangement</w:t>
      </w:r>
      <w:proofErr w:type="gramStart"/>
      <w:r w:rsidRPr="006C0690">
        <w:rPr>
          <w:rFonts w:eastAsia="Times New Roman" w:cs="Times New Roman"/>
          <w:lang w:val="en-US" w:eastAsia="fr-BE"/>
        </w:rPr>
        <w:t>;</w:t>
      </w:r>
      <w:proofErr w:type="gramEnd"/>
    </w:p>
    <w:p w:rsidR="00580FAF" w:rsidRPr="006C0690" w:rsidRDefault="00580FAF" w:rsidP="004F3AD8">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xml:space="preserve">2° </w:t>
      </w:r>
      <w:r w:rsidR="004F3AD8">
        <w:rPr>
          <w:rFonts w:eastAsia="Times New Roman" w:cs="Times New Roman"/>
          <w:lang w:val="en-US" w:eastAsia="fr-BE"/>
        </w:rPr>
        <w:tab/>
      </w:r>
      <w:r w:rsidRPr="006C0690">
        <w:rPr>
          <w:rFonts w:eastAsia="Times New Roman" w:cs="Times New Roman"/>
          <w:lang w:val="en-US" w:eastAsia="fr-BE"/>
        </w:rPr>
        <w:t xml:space="preserve">the total amount of </w:t>
      </w:r>
      <w:proofErr w:type="gramStart"/>
      <w:r w:rsidRPr="006C0690">
        <w:rPr>
          <w:rFonts w:eastAsia="Times New Roman" w:cs="Times New Roman"/>
          <w:lang w:val="en-US" w:eastAsia="fr-BE"/>
        </w:rPr>
        <w:t>leverage</w:t>
      </w:r>
      <w:proofErr w:type="gramEnd"/>
      <w:r w:rsidRPr="006C0690">
        <w:rPr>
          <w:rFonts w:eastAsia="Times New Roman" w:cs="Times New Roman"/>
          <w:lang w:val="en-US" w:eastAsia="fr-BE"/>
        </w:rPr>
        <w:t xml:space="preserve"> employed by that AIF.</w:t>
      </w:r>
    </w:p>
    <w:p w:rsidR="00580FAF" w:rsidRPr="006C0690" w:rsidRDefault="00580FAF" w:rsidP="004F3AD8">
      <w:pPr>
        <w:spacing w:before="120" w:after="0" w:line="240" w:lineRule="auto"/>
        <w:jc w:val="both"/>
        <w:rPr>
          <w:rFonts w:eastAsia="Times New Roman" w:cs="Times New Roman"/>
          <w:lang w:val="en-US" w:eastAsia="fr-BE"/>
        </w:rPr>
      </w:pPr>
      <w:r w:rsidRPr="006C0690">
        <w:rPr>
          <w:rFonts w:eastAsia="Times New Roman" w:cs="Times New Roman"/>
          <w:lang w:val="en-US" w:eastAsia="fr-BE"/>
        </w:rPr>
        <w:t>[…]</w:t>
      </w:r>
    </w:p>
    <w:p w:rsidR="004F3AD8" w:rsidRDefault="004F3AD8">
      <w:pPr>
        <w:spacing w:after="200" w:line="276" w:lineRule="auto"/>
        <w:rPr>
          <w:rFonts w:eastAsia="Times New Roman" w:cs="Times New Roman"/>
          <w:b/>
          <w:lang w:val="en-US" w:eastAsia="fr-BE"/>
        </w:rPr>
      </w:pPr>
      <w:r>
        <w:rPr>
          <w:rFonts w:eastAsia="Times New Roman" w:cs="Times New Roman"/>
          <w:b/>
          <w:lang w:val="en-US" w:eastAsia="fr-BE"/>
        </w:rPr>
        <w:br w:type="page"/>
      </w:r>
    </w:p>
    <w:p w:rsidR="00580FAF" w:rsidRPr="006C0690" w:rsidRDefault="00580FAF" w:rsidP="004F3AD8">
      <w:pPr>
        <w:spacing w:before="240" w:after="0" w:line="240" w:lineRule="auto"/>
        <w:jc w:val="both"/>
        <w:rPr>
          <w:rFonts w:eastAsia="Times New Roman" w:cs="Times New Roman"/>
          <w:b/>
          <w:lang w:val="en-US" w:eastAsia="fr-BE"/>
        </w:rPr>
      </w:pPr>
      <w:r w:rsidRPr="006C0690">
        <w:rPr>
          <w:rFonts w:eastAsia="Times New Roman" w:cs="Times New Roman"/>
          <w:b/>
          <w:lang w:val="en-US" w:eastAsia="fr-BE"/>
        </w:rPr>
        <w:lastRenderedPageBreak/>
        <w:t>Article 76</w:t>
      </w:r>
    </w:p>
    <w:p w:rsidR="00580FAF" w:rsidRPr="006C0690" w:rsidRDefault="00580FAF" w:rsidP="004F3AD8">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1. </w:t>
      </w:r>
      <w:r w:rsidR="004F3AD8">
        <w:rPr>
          <w:rFonts w:eastAsia="Times New Roman" w:cs="Times New Roman"/>
          <w:lang w:val="en-US" w:eastAsia="fr-BE"/>
        </w:rPr>
        <w:tab/>
      </w:r>
      <w:r w:rsidRPr="006C0690">
        <w:rPr>
          <w:rFonts w:eastAsia="Times New Roman" w:cs="Times New Roman"/>
          <w:lang w:val="en-US" w:eastAsia="fr-BE"/>
        </w:rPr>
        <w:t>This point applies to</w:t>
      </w:r>
    </w:p>
    <w:p w:rsidR="00580FAF" w:rsidRPr="006C0690" w:rsidRDefault="00580FAF" w:rsidP="004F3AD8">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a) </w:t>
      </w:r>
      <w:r w:rsidR="004F3AD8">
        <w:rPr>
          <w:rFonts w:eastAsia="Times New Roman" w:cs="Times New Roman"/>
          <w:lang w:val="en-US" w:eastAsia="fr-BE"/>
        </w:rPr>
        <w:tab/>
      </w:r>
      <w:r w:rsidRPr="006C0690">
        <w:rPr>
          <w:rFonts w:eastAsia="Times New Roman" w:cs="Times New Roman"/>
          <w:lang w:val="en-US" w:eastAsia="fr-BE"/>
        </w:rPr>
        <w:t>AIFMs managing one or more AIFs which either individually or jointly on the basis of an agreement aimed at acquiring control, acquire control of a non-listed company in accordance with Article 77;</w:t>
      </w:r>
    </w:p>
    <w:p w:rsidR="00580FAF" w:rsidRPr="006C0690" w:rsidRDefault="00580FAF" w:rsidP="004F3AD8">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b) </w:t>
      </w:r>
      <w:r w:rsidR="004F3AD8">
        <w:rPr>
          <w:rFonts w:eastAsia="Times New Roman" w:cs="Times New Roman"/>
          <w:lang w:val="en-US" w:eastAsia="fr-BE"/>
        </w:rPr>
        <w:tab/>
      </w:r>
      <w:r w:rsidRPr="006C0690">
        <w:rPr>
          <w:rFonts w:eastAsia="Times New Roman" w:cs="Times New Roman"/>
          <w:lang w:val="en-US" w:eastAsia="fr-BE"/>
        </w:rPr>
        <w:t xml:space="preserve">AIFMs cooperating with one or more other AIFMs </w:t>
      </w:r>
      <w:proofErr w:type="gramStart"/>
      <w:r w:rsidRPr="006C0690">
        <w:rPr>
          <w:rFonts w:eastAsia="Times New Roman" w:cs="Times New Roman"/>
          <w:lang w:val="en-US" w:eastAsia="fr-BE"/>
        </w:rPr>
        <w:t>on the basis of</w:t>
      </w:r>
      <w:proofErr w:type="gramEnd"/>
      <w:r w:rsidRPr="006C0690">
        <w:rPr>
          <w:rFonts w:eastAsia="Times New Roman" w:cs="Times New Roman"/>
          <w:lang w:val="en-US" w:eastAsia="fr-BE"/>
        </w:rPr>
        <w:t xml:space="preserve"> an agreement pursuant to which the AIFs jointly managed by those AIFMs acquire control of a non-listed company.</w:t>
      </w:r>
    </w:p>
    <w:p w:rsidR="00580FAF" w:rsidRPr="006C0690" w:rsidRDefault="00580FAF" w:rsidP="004F3AD8">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2. </w:t>
      </w:r>
      <w:r w:rsidR="004F3AD8">
        <w:rPr>
          <w:rFonts w:eastAsia="Times New Roman" w:cs="Times New Roman"/>
          <w:lang w:val="en-US" w:eastAsia="fr-BE"/>
        </w:rPr>
        <w:tab/>
      </w:r>
      <w:r w:rsidRPr="006C0690">
        <w:rPr>
          <w:rFonts w:eastAsia="Times New Roman" w:cs="Times New Roman"/>
          <w:lang w:val="en-US" w:eastAsia="fr-BE"/>
        </w:rPr>
        <w:t>This point does not apply where the non-listed companies concerned are:</w:t>
      </w:r>
    </w:p>
    <w:p w:rsidR="00580FAF" w:rsidRPr="006C0690" w:rsidRDefault="00580FAF" w:rsidP="004F3AD8">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1° </w:t>
      </w:r>
      <w:r w:rsidR="004F3AD8">
        <w:rPr>
          <w:rFonts w:eastAsia="Times New Roman" w:cs="Times New Roman"/>
          <w:lang w:val="en-US" w:eastAsia="fr-BE"/>
        </w:rPr>
        <w:tab/>
      </w:r>
      <w:r w:rsidRPr="006C0690">
        <w:rPr>
          <w:rFonts w:eastAsia="Times New Roman" w:cs="Times New Roman"/>
          <w:lang w:val="en-US" w:eastAsia="fr-BE"/>
        </w:rPr>
        <w:t>companies that employ fewer than 250 persons and which have an annual turnover not exceeding EUR 50 million or a balance sheet total not exceeding EUR 43 million;</w:t>
      </w:r>
    </w:p>
    <w:p w:rsidR="00580FAF" w:rsidRPr="006C0690" w:rsidRDefault="00580FAF" w:rsidP="004F3AD8">
      <w:pPr>
        <w:autoSpaceDE w:val="0"/>
        <w:autoSpaceDN w:val="0"/>
        <w:adjustRightInd w:val="0"/>
        <w:spacing w:before="120" w:after="0" w:line="240" w:lineRule="auto"/>
        <w:ind w:left="851" w:hanging="425"/>
        <w:jc w:val="both"/>
        <w:rPr>
          <w:rFonts w:eastAsia="Times New Roman" w:cs="Times New Roman"/>
          <w:lang w:val="en-US" w:eastAsia="fr-FR"/>
        </w:rPr>
      </w:pPr>
      <w:r w:rsidRPr="006C0690">
        <w:rPr>
          <w:rFonts w:eastAsia="Times New Roman" w:cs="Times New Roman"/>
          <w:lang w:val="en-US" w:eastAsia="fr-FR"/>
        </w:rPr>
        <w:t xml:space="preserve">2° </w:t>
      </w:r>
      <w:r w:rsidR="004F3AD8">
        <w:rPr>
          <w:rFonts w:eastAsia="Times New Roman" w:cs="Times New Roman"/>
          <w:lang w:val="en-US" w:eastAsia="fr-FR"/>
        </w:rPr>
        <w:tab/>
      </w:r>
      <w:r w:rsidRPr="006C0690">
        <w:rPr>
          <w:rFonts w:eastAsia="Times New Roman" w:cs="Times New Roman"/>
          <w:lang w:val="en-US" w:eastAsia="fr-FR"/>
        </w:rPr>
        <w:t>for special purpose vehicles with the purpose of purchasing, holding or administrating real estate.</w:t>
      </w:r>
    </w:p>
    <w:p w:rsidR="00580FAF" w:rsidRPr="006C0690" w:rsidRDefault="00580FAF" w:rsidP="004F3AD8">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3. </w:t>
      </w:r>
      <w:r w:rsidR="004F3AD8">
        <w:rPr>
          <w:rFonts w:eastAsia="Times New Roman" w:cs="Times New Roman"/>
          <w:lang w:val="en-US" w:eastAsia="fr-BE"/>
        </w:rPr>
        <w:tab/>
      </w:r>
      <w:r w:rsidRPr="006C0690">
        <w:rPr>
          <w:rFonts w:eastAsia="Times New Roman" w:cs="Times New Roman"/>
          <w:lang w:val="en-US" w:eastAsia="fr-BE"/>
        </w:rPr>
        <w:t xml:space="preserve">Without prejudice to paragraphs 1 and 2, Article 79, § </w:t>
      </w:r>
      <w:proofErr w:type="gramStart"/>
      <w:r w:rsidRPr="006C0690">
        <w:rPr>
          <w:rFonts w:eastAsia="Times New Roman" w:cs="Times New Roman"/>
          <w:lang w:val="en-US" w:eastAsia="fr-BE"/>
        </w:rPr>
        <w:t>1</w:t>
      </w:r>
      <w:proofErr w:type="gramEnd"/>
      <w:r w:rsidRPr="006C0690">
        <w:rPr>
          <w:rFonts w:eastAsia="Times New Roman" w:cs="Times New Roman"/>
          <w:lang w:val="en-US" w:eastAsia="fr-BE"/>
        </w:rPr>
        <w:t xml:space="preserve"> shall also apply to AIFMs managing AIFs that acquire a non-controlling participation in a non-listed company.</w:t>
      </w:r>
    </w:p>
    <w:p w:rsidR="00580FAF" w:rsidRPr="006C0690" w:rsidRDefault="00580FAF" w:rsidP="004F3AD8">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4. </w:t>
      </w:r>
      <w:r w:rsidR="004F3AD8">
        <w:rPr>
          <w:rFonts w:eastAsia="Times New Roman" w:cs="Times New Roman"/>
          <w:lang w:val="en-US" w:eastAsia="fr-BE"/>
        </w:rPr>
        <w:tab/>
      </w:r>
      <w:r w:rsidRPr="006C0690">
        <w:rPr>
          <w:rFonts w:eastAsia="Times New Roman" w:cs="Times New Roman"/>
          <w:lang w:val="en-US" w:eastAsia="fr-BE"/>
        </w:rPr>
        <w:t xml:space="preserve">Articles 80, §§ 1, 2 and 3, 82 and 83 shall also apply to AIFMs managing AIFs that acquire control of issuers. For the purposes of those Articles, paragraphs 1 and 2 of this Article shall apply </w:t>
      </w:r>
      <w:r w:rsidRPr="006C0690">
        <w:rPr>
          <w:rFonts w:eastAsia="Times New Roman" w:cs="Times New Roman"/>
          <w:i/>
          <w:lang w:val="en-US" w:eastAsia="fr-BE"/>
        </w:rPr>
        <w:t>mutatis mutandis</w:t>
      </w:r>
      <w:r w:rsidRPr="006C0690">
        <w:rPr>
          <w:rFonts w:eastAsia="Times New Roman" w:cs="Times New Roman"/>
          <w:lang w:val="en-US" w:eastAsia="fr-BE"/>
        </w:rPr>
        <w:t>.</w:t>
      </w:r>
    </w:p>
    <w:p w:rsidR="00580FAF" w:rsidRPr="006C0690" w:rsidRDefault="00580FAF" w:rsidP="004F3AD8">
      <w:pPr>
        <w:spacing w:before="240" w:after="0" w:line="240" w:lineRule="auto"/>
        <w:jc w:val="both"/>
        <w:rPr>
          <w:rFonts w:eastAsia="Times New Roman" w:cs="Times New Roman"/>
          <w:b/>
          <w:lang w:val="en-US" w:eastAsia="fr-BE"/>
        </w:rPr>
      </w:pPr>
      <w:r w:rsidRPr="006C0690">
        <w:rPr>
          <w:rFonts w:eastAsia="Times New Roman" w:cs="Times New Roman"/>
          <w:b/>
          <w:lang w:val="en-US" w:eastAsia="fr-BE"/>
        </w:rPr>
        <w:t>Article 77</w:t>
      </w:r>
    </w:p>
    <w:p w:rsidR="00580FAF" w:rsidRPr="006C0690" w:rsidRDefault="00580FAF" w:rsidP="004F3AD8">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1. </w:t>
      </w:r>
      <w:r w:rsidR="004F3AD8">
        <w:rPr>
          <w:rFonts w:eastAsia="Times New Roman" w:cs="Times New Roman"/>
          <w:lang w:val="en-US" w:eastAsia="fr-BE"/>
        </w:rPr>
        <w:tab/>
      </w:r>
      <w:r w:rsidRPr="006C0690">
        <w:rPr>
          <w:rFonts w:eastAsia="Times New Roman" w:cs="Times New Roman"/>
          <w:lang w:val="en-US" w:eastAsia="fr-BE"/>
        </w:rPr>
        <w:t>Without prejudice to Article 3, 55°, for the purpose of this Subsection, for non-listed companies, control shall mean more than 50% of the voting rights of the company.</w:t>
      </w:r>
    </w:p>
    <w:p w:rsidR="00580FAF" w:rsidRPr="006C0690" w:rsidRDefault="00580FAF" w:rsidP="004F3AD8">
      <w:pPr>
        <w:keepNext/>
        <w:spacing w:before="120" w:after="0" w:line="240" w:lineRule="auto"/>
        <w:ind w:left="426"/>
        <w:jc w:val="both"/>
        <w:rPr>
          <w:rFonts w:eastAsia="Times New Roman" w:cs="Times New Roman"/>
          <w:lang w:val="en-US" w:eastAsia="fr-BE"/>
        </w:rPr>
      </w:pPr>
      <w:r w:rsidRPr="006C0690">
        <w:rPr>
          <w:rFonts w:eastAsia="Times New Roman" w:cs="Times New Roman"/>
          <w:lang w:val="en-US" w:eastAsia="fr-BE"/>
        </w:rPr>
        <w:t>When calculating the percentage of voting rights held by the AIF, in addition to the voting rights held directly by that AIF, the voting rights of the following shall be taken into account, subject to control as referred to in the first paragraph being established:</w:t>
      </w:r>
    </w:p>
    <w:p w:rsidR="00580FAF" w:rsidRPr="006C0690" w:rsidRDefault="00580FAF" w:rsidP="004F3AD8">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1° </w:t>
      </w:r>
      <w:r w:rsidR="004F3AD8">
        <w:rPr>
          <w:rFonts w:eastAsia="Times New Roman" w:cs="Times New Roman"/>
          <w:lang w:val="en-US" w:eastAsia="fr-BE"/>
        </w:rPr>
        <w:tab/>
      </w:r>
      <w:r w:rsidRPr="006C0690">
        <w:rPr>
          <w:rFonts w:eastAsia="Times New Roman" w:cs="Times New Roman"/>
          <w:lang w:val="en-US" w:eastAsia="fr-BE"/>
        </w:rPr>
        <w:t>a company controlled by the AIF; and</w:t>
      </w:r>
    </w:p>
    <w:p w:rsidR="00580FAF" w:rsidRPr="006C0690" w:rsidRDefault="00580FAF" w:rsidP="004F3AD8">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2° </w:t>
      </w:r>
      <w:r w:rsidR="004F3AD8">
        <w:rPr>
          <w:rFonts w:eastAsia="Times New Roman" w:cs="Times New Roman"/>
          <w:lang w:val="en-US" w:eastAsia="fr-BE"/>
        </w:rPr>
        <w:tab/>
      </w:r>
      <w:r w:rsidRPr="006C0690">
        <w:rPr>
          <w:rFonts w:eastAsia="Times New Roman" w:cs="Times New Roman"/>
          <w:lang w:val="en-US" w:eastAsia="fr-BE"/>
        </w:rPr>
        <w:t>a natural or legal person acting in its own name but on behalf of the AIF or on behalf of a company controlled by the AIF.</w:t>
      </w:r>
    </w:p>
    <w:p w:rsidR="00580FAF" w:rsidRPr="006C0690" w:rsidRDefault="00580FAF" w:rsidP="004F3AD8">
      <w:pPr>
        <w:spacing w:before="120" w:after="0" w:line="240" w:lineRule="auto"/>
        <w:ind w:left="426"/>
        <w:jc w:val="both"/>
        <w:rPr>
          <w:rFonts w:eastAsia="Times New Roman" w:cs="Times New Roman"/>
          <w:lang w:val="en-US" w:eastAsia="fr-BE"/>
        </w:rPr>
      </w:pPr>
      <w:r w:rsidRPr="006C0690">
        <w:rPr>
          <w:rFonts w:eastAsia="Times New Roman" w:cs="Times New Roman"/>
          <w:lang w:val="en-US" w:eastAsia="fr-BE"/>
        </w:rPr>
        <w:t xml:space="preserve">The percentage of voting rights shall be calculated </w:t>
      </w:r>
      <w:proofErr w:type="gramStart"/>
      <w:r w:rsidRPr="006C0690">
        <w:rPr>
          <w:rFonts w:eastAsia="Times New Roman" w:cs="Times New Roman"/>
          <w:lang w:val="en-US" w:eastAsia="fr-BE"/>
        </w:rPr>
        <w:t>on the basis of</w:t>
      </w:r>
      <w:proofErr w:type="gramEnd"/>
      <w:r w:rsidRPr="006C0690">
        <w:rPr>
          <w:rFonts w:eastAsia="Times New Roman" w:cs="Times New Roman"/>
          <w:lang w:val="en-US" w:eastAsia="fr-BE"/>
        </w:rPr>
        <w:t xml:space="preserve"> all the shares to which voting rights are attached even if the exercise thereof is suspended.</w:t>
      </w:r>
    </w:p>
    <w:p w:rsidR="00580FAF" w:rsidRPr="006C0690" w:rsidRDefault="00580FAF" w:rsidP="004F3AD8">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2. </w:t>
      </w:r>
      <w:r w:rsidR="004F3AD8">
        <w:rPr>
          <w:rFonts w:eastAsia="Times New Roman" w:cs="Times New Roman"/>
          <w:lang w:val="en-US" w:eastAsia="fr-BE"/>
        </w:rPr>
        <w:tab/>
      </w:r>
      <w:r w:rsidRPr="006C0690">
        <w:rPr>
          <w:rFonts w:eastAsia="Times New Roman" w:cs="Times New Roman"/>
          <w:lang w:val="en-US" w:eastAsia="fr-BE"/>
        </w:rPr>
        <w:t>Notwithstanding Article 3, 55°, for the purposes of Articles 80, §§ 1, 2 and 3, 82 and 93, control over issuers shall be determined in accordance with Article 5, paragraph 3, of Directive 2004/25/EC.</w:t>
      </w:r>
    </w:p>
    <w:p w:rsidR="00580FAF" w:rsidRPr="006C0690" w:rsidRDefault="00580FAF" w:rsidP="004F3AD8">
      <w:pPr>
        <w:spacing w:before="240" w:after="0" w:line="240" w:lineRule="auto"/>
        <w:jc w:val="both"/>
        <w:rPr>
          <w:rFonts w:eastAsia="Times New Roman" w:cs="Times New Roman"/>
          <w:b/>
          <w:lang w:val="en-US" w:eastAsia="fr-BE"/>
        </w:rPr>
      </w:pPr>
      <w:r w:rsidRPr="006C0690">
        <w:rPr>
          <w:rFonts w:eastAsia="Times New Roman" w:cs="Times New Roman"/>
          <w:b/>
          <w:lang w:val="en-US" w:eastAsia="fr-BE"/>
        </w:rPr>
        <w:t>Article 78</w:t>
      </w:r>
    </w:p>
    <w:p w:rsidR="00580FAF" w:rsidRPr="006C0690" w:rsidRDefault="00580FAF" w:rsidP="004F3AD8">
      <w:pPr>
        <w:spacing w:before="120" w:after="0" w:line="240" w:lineRule="auto"/>
        <w:jc w:val="both"/>
        <w:rPr>
          <w:rFonts w:eastAsia="Times New Roman" w:cs="Times New Roman"/>
          <w:lang w:val="en-US" w:eastAsia="fr-BE"/>
        </w:rPr>
      </w:pPr>
      <w:r w:rsidRPr="006C0690">
        <w:rPr>
          <w:rFonts w:eastAsia="Times New Roman" w:cs="Times New Roman"/>
          <w:lang w:val="en-US" w:eastAsia="fr-BE"/>
        </w:rPr>
        <w:t>This point B shall apply subject to the conditions and restrictions set out in Article 6 of Directive 2002/14/EC.</w:t>
      </w:r>
    </w:p>
    <w:p w:rsidR="00580FAF" w:rsidRPr="006C0690" w:rsidRDefault="00580FAF" w:rsidP="004F3AD8">
      <w:pPr>
        <w:spacing w:before="120" w:after="0" w:line="240" w:lineRule="auto"/>
        <w:jc w:val="both"/>
        <w:rPr>
          <w:rFonts w:eastAsia="Times New Roman" w:cs="Times New Roman"/>
          <w:lang w:val="en-US" w:eastAsia="fr-BE"/>
        </w:rPr>
      </w:pPr>
      <w:r w:rsidRPr="006C0690">
        <w:rPr>
          <w:rFonts w:eastAsia="Times New Roman" w:cs="Times New Roman"/>
          <w:lang w:val="en-US" w:eastAsia="fr-BE"/>
        </w:rPr>
        <w:t>This point B shall apply notwithstanding Articles 514 to 516 of the Companies Code, the Law of 2 May 2007 on disclosure of major holdings, and regulations adopted pursuant to those legal provisions, as well as any stricter provisions under Belgian law governing the acquisition of holdings in non-listed companies.</w:t>
      </w:r>
    </w:p>
    <w:p w:rsidR="00580FAF" w:rsidRPr="006C0690" w:rsidRDefault="00580FAF" w:rsidP="004F3AD8">
      <w:pPr>
        <w:spacing w:before="120" w:after="0" w:line="240" w:lineRule="auto"/>
        <w:jc w:val="both"/>
        <w:rPr>
          <w:rFonts w:eastAsia="Times New Roman" w:cs="Times New Roman"/>
          <w:i/>
          <w:lang w:val="en-US" w:eastAsia="fr-BE"/>
        </w:rPr>
      </w:pPr>
      <w:r w:rsidRPr="006C0690">
        <w:rPr>
          <w:rFonts w:eastAsia="Times New Roman" w:cs="Times New Roman"/>
          <w:i/>
          <w:lang w:val="en-US" w:eastAsia="fr-BE"/>
        </w:rPr>
        <w:t>b. Notification of the acquisition of major holdings and control of non-listed companies or issuers.</w:t>
      </w:r>
    </w:p>
    <w:p w:rsidR="004F3AD8" w:rsidRDefault="004F3AD8">
      <w:pPr>
        <w:spacing w:after="200" w:line="276" w:lineRule="auto"/>
        <w:rPr>
          <w:rFonts w:eastAsia="Times New Roman" w:cs="Times New Roman"/>
          <w:b/>
          <w:lang w:val="en-US" w:eastAsia="fr-BE"/>
        </w:rPr>
      </w:pPr>
      <w:r>
        <w:rPr>
          <w:rFonts w:eastAsia="Times New Roman" w:cs="Times New Roman"/>
          <w:b/>
          <w:lang w:val="en-US" w:eastAsia="fr-BE"/>
        </w:rPr>
        <w:br w:type="page"/>
      </w:r>
    </w:p>
    <w:p w:rsidR="00580FAF" w:rsidRPr="006C0690" w:rsidRDefault="00580FAF" w:rsidP="00B1375F">
      <w:pPr>
        <w:spacing w:before="240" w:after="0" w:line="240" w:lineRule="auto"/>
        <w:ind w:left="426" w:hanging="426"/>
        <w:jc w:val="both"/>
        <w:rPr>
          <w:rFonts w:eastAsia="Times New Roman" w:cs="Times New Roman"/>
          <w:b/>
          <w:lang w:val="en-US" w:eastAsia="fr-BE"/>
        </w:rPr>
      </w:pPr>
      <w:r w:rsidRPr="006C0690">
        <w:rPr>
          <w:rFonts w:eastAsia="Times New Roman" w:cs="Times New Roman"/>
          <w:b/>
          <w:lang w:val="en-US" w:eastAsia="fr-BE"/>
        </w:rPr>
        <w:lastRenderedPageBreak/>
        <w:t>Article 79</w:t>
      </w:r>
    </w:p>
    <w:p w:rsidR="00580FAF" w:rsidRPr="006C0690" w:rsidRDefault="00580FAF" w:rsidP="00B1375F">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1. </w:t>
      </w:r>
      <w:r w:rsidR="00B1375F">
        <w:rPr>
          <w:rFonts w:eastAsia="Times New Roman" w:cs="Times New Roman"/>
          <w:lang w:val="en-US" w:eastAsia="fr-BE"/>
        </w:rPr>
        <w:tab/>
      </w:r>
      <w:r w:rsidRPr="006C0690">
        <w:rPr>
          <w:rFonts w:eastAsia="Times New Roman" w:cs="Times New Roman"/>
          <w:lang w:val="en-US" w:eastAsia="fr-BE"/>
        </w:rPr>
        <w:t>When an AIF acquires, disposes of or holds shares of a non-listed company, the AIFM managing that AIF shall notify the FSMA of the percentage of voting rights of the non-listed company held by the AIF any time when that percentage reaches, exceeds or falls below the thresholds of 10%, 20%, 30%, 50% and 75%.</w:t>
      </w:r>
    </w:p>
    <w:p w:rsidR="00580FAF" w:rsidRPr="006C0690" w:rsidRDefault="00580FAF" w:rsidP="00B1375F">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2. </w:t>
      </w:r>
      <w:r w:rsidR="00B1375F">
        <w:rPr>
          <w:rFonts w:eastAsia="Times New Roman" w:cs="Times New Roman"/>
          <w:lang w:val="en-US" w:eastAsia="fr-BE"/>
        </w:rPr>
        <w:tab/>
      </w:r>
      <w:r w:rsidRPr="006C0690">
        <w:rPr>
          <w:rFonts w:eastAsia="Times New Roman" w:cs="Times New Roman"/>
          <w:lang w:val="en-US" w:eastAsia="fr-BE"/>
        </w:rPr>
        <w:t>When an AIF acquires, individually or jointly, control over a non-listed company pursuant to Articles 76, § 1 and 77, the AIFM managing the AIF shall notify the following of the acquisition of control:</w:t>
      </w:r>
    </w:p>
    <w:p w:rsidR="00580FAF" w:rsidRPr="006C0690" w:rsidRDefault="00580FAF" w:rsidP="00B1375F">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1° </w:t>
      </w:r>
      <w:r w:rsidR="00B1375F">
        <w:rPr>
          <w:rFonts w:eastAsia="Times New Roman" w:cs="Times New Roman"/>
          <w:lang w:val="en-US" w:eastAsia="fr-BE"/>
        </w:rPr>
        <w:tab/>
      </w:r>
      <w:r w:rsidRPr="006C0690">
        <w:rPr>
          <w:rFonts w:eastAsia="Times New Roman" w:cs="Times New Roman"/>
          <w:lang w:val="en-US" w:eastAsia="fr-BE"/>
        </w:rPr>
        <w:t>the company;</w:t>
      </w:r>
    </w:p>
    <w:p w:rsidR="00580FAF" w:rsidRPr="006C0690" w:rsidRDefault="00580FAF" w:rsidP="00B1375F">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2° </w:t>
      </w:r>
      <w:r w:rsidR="00B1375F">
        <w:rPr>
          <w:rFonts w:eastAsia="Times New Roman" w:cs="Times New Roman"/>
          <w:lang w:val="en-US" w:eastAsia="fr-BE"/>
        </w:rPr>
        <w:tab/>
      </w:r>
      <w:r w:rsidRPr="006C0690">
        <w:rPr>
          <w:rFonts w:eastAsia="Times New Roman" w:cs="Times New Roman"/>
          <w:lang w:val="en-US" w:eastAsia="fr-BE"/>
        </w:rPr>
        <w:t>the shareholders of which the identities and addresses are available to the AIFM or can be made available by the non-listed company or through a register to which the AIFM has or can obtain access; and</w:t>
      </w:r>
    </w:p>
    <w:p w:rsidR="00580FAF" w:rsidRPr="006C0690" w:rsidRDefault="00580FAF" w:rsidP="00B1375F">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3° </w:t>
      </w:r>
      <w:r w:rsidR="00B1375F">
        <w:rPr>
          <w:rFonts w:eastAsia="Times New Roman" w:cs="Times New Roman"/>
          <w:lang w:val="en-US" w:eastAsia="fr-BE"/>
        </w:rPr>
        <w:tab/>
      </w:r>
      <w:r w:rsidRPr="006C0690">
        <w:rPr>
          <w:rFonts w:eastAsia="Times New Roman" w:cs="Times New Roman"/>
          <w:lang w:val="en-US" w:eastAsia="fr-BE"/>
        </w:rPr>
        <w:t>the FSMA.</w:t>
      </w:r>
    </w:p>
    <w:p w:rsidR="00580FAF" w:rsidRPr="006C0690" w:rsidRDefault="00580FAF" w:rsidP="00B1375F">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3. </w:t>
      </w:r>
      <w:r w:rsidR="00B1375F">
        <w:rPr>
          <w:rFonts w:eastAsia="Times New Roman" w:cs="Times New Roman"/>
          <w:lang w:val="en-US" w:eastAsia="fr-BE"/>
        </w:rPr>
        <w:tab/>
      </w:r>
      <w:r w:rsidRPr="006C0690">
        <w:rPr>
          <w:rFonts w:eastAsia="Times New Roman" w:cs="Times New Roman"/>
          <w:lang w:val="en-US" w:eastAsia="fr-BE"/>
        </w:rPr>
        <w:t>The notification required under paragraph 2 shall contain the following additional information:</w:t>
      </w:r>
    </w:p>
    <w:p w:rsidR="00580FAF" w:rsidRPr="006C0690" w:rsidRDefault="00580FAF" w:rsidP="00B1375F">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1° </w:t>
      </w:r>
      <w:r w:rsidR="00B1375F">
        <w:rPr>
          <w:rFonts w:eastAsia="Times New Roman" w:cs="Times New Roman"/>
          <w:lang w:val="en-US" w:eastAsia="fr-BE"/>
        </w:rPr>
        <w:tab/>
      </w:r>
      <w:r w:rsidRPr="006C0690">
        <w:rPr>
          <w:rFonts w:eastAsia="Times New Roman" w:cs="Times New Roman"/>
          <w:lang w:val="en-US" w:eastAsia="fr-BE"/>
        </w:rPr>
        <w:t>the resulting situation in terms of voting rights</w:t>
      </w:r>
      <w:proofErr w:type="gramStart"/>
      <w:r w:rsidRPr="006C0690">
        <w:rPr>
          <w:rFonts w:eastAsia="Times New Roman" w:cs="Times New Roman"/>
          <w:lang w:val="en-US" w:eastAsia="fr-BE"/>
        </w:rPr>
        <w:t>;</w:t>
      </w:r>
      <w:proofErr w:type="gramEnd"/>
    </w:p>
    <w:p w:rsidR="00580FAF" w:rsidRPr="006C0690" w:rsidRDefault="00580FAF" w:rsidP="00B1375F">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2° </w:t>
      </w:r>
      <w:r w:rsidR="00B1375F">
        <w:rPr>
          <w:rFonts w:eastAsia="Times New Roman" w:cs="Times New Roman"/>
          <w:lang w:val="en-US" w:eastAsia="fr-BE"/>
        </w:rPr>
        <w:tab/>
      </w:r>
      <w:r w:rsidRPr="006C0690">
        <w:rPr>
          <w:rFonts w:eastAsia="Times New Roman" w:cs="Times New Roman"/>
          <w:lang w:val="en-US" w:eastAsia="fr-BE"/>
        </w:rPr>
        <w:t>the conditions subject to which control was acquired, including information about the identity of the different shareholders involved, any natural person or legal entity entitled to exercise voting rights on their behalf and, if applicable, the chain of companies through which the voting rights are effectively held;</w:t>
      </w:r>
    </w:p>
    <w:p w:rsidR="00580FAF" w:rsidRPr="006C0690" w:rsidRDefault="00580FAF" w:rsidP="00B1375F">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3° </w:t>
      </w:r>
      <w:r w:rsidR="00B1375F">
        <w:rPr>
          <w:rFonts w:eastAsia="Times New Roman" w:cs="Times New Roman"/>
          <w:lang w:val="en-US" w:eastAsia="fr-BE"/>
        </w:rPr>
        <w:tab/>
      </w:r>
      <w:r w:rsidRPr="006C0690">
        <w:rPr>
          <w:rFonts w:eastAsia="Times New Roman" w:cs="Times New Roman"/>
          <w:lang w:val="en-US" w:eastAsia="fr-BE"/>
        </w:rPr>
        <w:t xml:space="preserve">the date on which control </w:t>
      </w:r>
      <w:proofErr w:type="gramStart"/>
      <w:r w:rsidRPr="006C0690">
        <w:rPr>
          <w:rFonts w:eastAsia="Times New Roman" w:cs="Times New Roman"/>
          <w:lang w:val="en-US" w:eastAsia="fr-BE"/>
        </w:rPr>
        <w:t>was acquired</w:t>
      </w:r>
      <w:proofErr w:type="gramEnd"/>
      <w:r w:rsidRPr="006C0690">
        <w:rPr>
          <w:rFonts w:eastAsia="Times New Roman" w:cs="Times New Roman"/>
          <w:lang w:val="en-US" w:eastAsia="fr-BE"/>
        </w:rPr>
        <w:t>.</w:t>
      </w:r>
    </w:p>
    <w:p w:rsidR="00580FAF" w:rsidRPr="006C0690" w:rsidRDefault="00580FAF" w:rsidP="00B1375F">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4. </w:t>
      </w:r>
      <w:r w:rsidR="00B1375F">
        <w:rPr>
          <w:rFonts w:eastAsia="Times New Roman" w:cs="Times New Roman"/>
          <w:lang w:val="en-US" w:eastAsia="fr-BE"/>
        </w:rPr>
        <w:tab/>
      </w:r>
      <w:r w:rsidRPr="006C0690">
        <w:rPr>
          <w:rFonts w:eastAsia="Times New Roman" w:cs="Times New Roman"/>
          <w:lang w:val="en-US" w:eastAsia="fr-BE"/>
        </w:rPr>
        <w:t xml:space="preserve">In its notification to the non-listed company, the AIFM shall request the statutory governing body of the company to inform the employees' representatives or, where there </w:t>
      </w:r>
      <w:proofErr w:type="gramStart"/>
      <w:r w:rsidRPr="006C0690">
        <w:rPr>
          <w:rFonts w:eastAsia="Times New Roman" w:cs="Times New Roman"/>
          <w:lang w:val="en-US" w:eastAsia="fr-BE"/>
        </w:rPr>
        <w:t>are</w:t>
      </w:r>
      <w:proofErr w:type="gramEnd"/>
      <w:r w:rsidRPr="006C0690">
        <w:rPr>
          <w:rFonts w:eastAsia="Times New Roman" w:cs="Times New Roman"/>
          <w:lang w:val="en-US" w:eastAsia="fr-BE"/>
        </w:rPr>
        <w:t xml:space="preserve"> none, the employees themselves, without delay of the acquisition of control by the AIF managed by the AIFM and of the information referred to in paragraph 3. The AIFM shall use its best efforts to guarantee that the employees' representatives or, where there </w:t>
      </w:r>
      <w:proofErr w:type="gramStart"/>
      <w:r w:rsidRPr="006C0690">
        <w:rPr>
          <w:rFonts w:eastAsia="Times New Roman" w:cs="Times New Roman"/>
          <w:lang w:val="en-US" w:eastAsia="fr-BE"/>
        </w:rPr>
        <w:t>are</w:t>
      </w:r>
      <w:proofErr w:type="gramEnd"/>
      <w:r w:rsidRPr="006C0690">
        <w:rPr>
          <w:rFonts w:eastAsia="Times New Roman" w:cs="Times New Roman"/>
          <w:lang w:val="en-US" w:eastAsia="fr-BE"/>
        </w:rPr>
        <w:t xml:space="preserve"> none, the employees themselves, are duly informed by the statutory governing body in accordance with th</w:t>
      </w:r>
      <w:r w:rsidR="00B1375F">
        <w:rPr>
          <w:rFonts w:eastAsia="Times New Roman" w:cs="Times New Roman"/>
          <w:lang w:val="en-US" w:eastAsia="fr-BE"/>
        </w:rPr>
        <w:t>is Article.</w:t>
      </w:r>
    </w:p>
    <w:p w:rsidR="00580FAF" w:rsidRPr="006C0690" w:rsidRDefault="00580FAF" w:rsidP="00B1375F">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5. </w:t>
      </w:r>
      <w:r w:rsidR="00B1375F">
        <w:rPr>
          <w:rFonts w:eastAsia="Times New Roman" w:cs="Times New Roman"/>
          <w:lang w:val="en-US" w:eastAsia="fr-BE"/>
        </w:rPr>
        <w:tab/>
      </w:r>
      <w:r w:rsidRPr="006C0690">
        <w:rPr>
          <w:rFonts w:eastAsia="Times New Roman" w:cs="Times New Roman"/>
          <w:lang w:val="en-US" w:eastAsia="fr-BE"/>
        </w:rPr>
        <w:t xml:space="preserve">The notifications referred to in paragraphs 1, 2 and 3 </w:t>
      </w:r>
      <w:proofErr w:type="gramStart"/>
      <w:r w:rsidRPr="006C0690">
        <w:rPr>
          <w:rFonts w:eastAsia="Times New Roman" w:cs="Times New Roman"/>
          <w:lang w:val="en-US" w:eastAsia="fr-BE"/>
        </w:rPr>
        <w:t>shall be made</w:t>
      </w:r>
      <w:proofErr w:type="gramEnd"/>
      <w:r w:rsidRPr="006C0690">
        <w:rPr>
          <w:rFonts w:eastAsia="Times New Roman" w:cs="Times New Roman"/>
          <w:lang w:val="en-US" w:eastAsia="fr-BE"/>
        </w:rPr>
        <w:t xml:space="preserve"> as soon as possible and, in any event, no later than ten working days after the date on which the AIF reached, exceeded or fell below the relevant threshold or acquired control of the non-listed company.</w:t>
      </w:r>
    </w:p>
    <w:p w:rsidR="00580FAF" w:rsidRPr="006C0690" w:rsidRDefault="00580FAF" w:rsidP="00B1375F">
      <w:pPr>
        <w:tabs>
          <w:tab w:val="left" w:pos="284"/>
          <w:tab w:val="left" w:pos="426"/>
        </w:tabs>
        <w:spacing w:before="240" w:after="0" w:line="240" w:lineRule="auto"/>
        <w:jc w:val="both"/>
        <w:rPr>
          <w:rFonts w:eastAsia="Times New Roman" w:cs="Times New Roman"/>
          <w:b/>
          <w:bCs/>
          <w:lang w:val="en-US" w:eastAsia="fr-BE"/>
        </w:rPr>
      </w:pPr>
      <w:r w:rsidRPr="006C0690">
        <w:rPr>
          <w:rFonts w:eastAsia="Times New Roman" w:cs="Times New Roman"/>
          <w:b/>
          <w:lang w:val="en-US" w:eastAsia="fr-BE"/>
        </w:rPr>
        <w:t>Article 80</w:t>
      </w:r>
    </w:p>
    <w:p w:rsidR="00580FAF" w:rsidRPr="006C0690" w:rsidRDefault="00580FAF" w:rsidP="00B1375F">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1. </w:t>
      </w:r>
      <w:r w:rsidR="00B1375F">
        <w:rPr>
          <w:rFonts w:eastAsia="Times New Roman" w:cs="Times New Roman"/>
          <w:lang w:val="en-US" w:eastAsia="fr-BE"/>
        </w:rPr>
        <w:tab/>
      </w:r>
      <w:r w:rsidRPr="006C0690">
        <w:rPr>
          <w:rFonts w:eastAsia="Times New Roman" w:cs="Times New Roman"/>
          <w:lang w:val="en-US" w:eastAsia="fr-BE"/>
        </w:rPr>
        <w:t xml:space="preserve">When an AIF acquires, individually or jointly, control over a non-listed company pursuant to Articles 76, § 1 and 77, the AIFM managing the AIF shall make the information referred to in § </w:t>
      </w:r>
      <w:proofErr w:type="gramStart"/>
      <w:r w:rsidRPr="006C0690">
        <w:rPr>
          <w:rFonts w:eastAsia="Times New Roman" w:cs="Times New Roman"/>
          <w:lang w:val="en-US" w:eastAsia="fr-BE"/>
        </w:rPr>
        <w:t>2</w:t>
      </w:r>
      <w:proofErr w:type="gramEnd"/>
      <w:r w:rsidRPr="006C0690">
        <w:rPr>
          <w:rFonts w:eastAsia="Times New Roman" w:cs="Times New Roman"/>
          <w:lang w:val="en-US" w:eastAsia="fr-BE"/>
        </w:rPr>
        <w:t xml:space="preserve"> available to:</w:t>
      </w:r>
    </w:p>
    <w:p w:rsidR="00580FAF" w:rsidRPr="006C0690" w:rsidRDefault="00580FAF" w:rsidP="00B1375F">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 </w:t>
      </w:r>
      <w:r w:rsidR="00B1375F">
        <w:rPr>
          <w:rFonts w:eastAsia="Times New Roman" w:cs="Times New Roman"/>
          <w:lang w:val="en-US" w:eastAsia="fr-BE"/>
        </w:rPr>
        <w:tab/>
      </w:r>
      <w:r w:rsidRPr="006C0690">
        <w:rPr>
          <w:rFonts w:eastAsia="Times New Roman" w:cs="Times New Roman"/>
          <w:lang w:val="en-US" w:eastAsia="fr-BE"/>
        </w:rPr>
        <w:t>the company in question;</w:t>
      </w:r>
    </w:p>
    <w:p w:rsidR="00580FAF" w:rsidRPr="006C0690" w:rsidRDefault="00580FAF" w:rsidP="00B1375F">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2° </w:t>
      </w:r>
      <w:r w:rsidR="00B1375F">
        <w:rPr>
          <w:rFonts w:eastAsia="Times New Roman" w:cs="Times New Roman"/>
          <w:lang w:val="en-US" w:eastAsia="fr-BE"/>
        </w:rPr>
        <w:tab/>
      </w:r>
      <w:r w:rsidRPr="006C0690">
        <w:rPr>
          <w:rFonts w:eastAsia="Times New Roman" w:cs="Times New Roman"/>
          <w:lang w:val="en-US" w:eastAsia="fr-BE"/>
        </w:rPr>
        <w:t>the company shareholders of which the identities and addresses are available to the AIFM or can be made available by the company or through a register of shareholders to which the AIFM has or can obtain access; and</w:t>
      </w:r>
    </w:p>
    <w:p w:rsidR="00580FAF" w:rsidRPr="006C0690" w:rsidRDefault="00580FAF" w:rsidP="00B1375F">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3° </w:t>
      </w:r>
      <w:r w:rsidR="00B1375F">
        <w:rPr>
          <w:rFonts w:eastAsia="Times New Roman" w:cs="Times New Roman"/>
          <w:lang w:val="en-US" w:eastAsia="fr-BE"/>
        </w:rPr>
        <w:tab/>
      </w:r>
      <w:r w:rsidRPr="006C0690">
        <w:rPr>
          <w:rFonts w:eastAsia="Times New Roman" w:cs="Times New Roman"/>
          <w:lang w:val="en-US" w:eastAsia="fr-BE"/>
        </w:rPr>
        <w:t>the FSMA.</w:t>
      </w:r>
    </w:p>
    <w:p w:rsidR="00B1375F" w:rsidRDefault="00B1375F">
      <w:pPr>
        <w:spacing w:after="200" w:line="276" w:lineRule="auto"/>
        <w:rPr>
          <w:rFonts w:eastAsia="Times New Roman" w:cs="Times New Roman"/>
          <w:lang w:val="en-US" w:eastAsia="fr-BE"/>
        </w:rPr>
      </w:pPr>
      <w:r>
        <w:rPr>
          <w:rFonts w:eastAsia="Times New Roman" w:cs="Times New Roman"/>
          <w:lang w:val="en-US" w:eastAsia="fr-BE"/>
        </w:rPr>
        <w:br w:type="page"/>
      </w:r>
    </w:p>
    <w:p w:rsidR="00580FAF" w:rsidRPr="006C0690" w:rsidRDefault="00580FAF" w:rsidP="00B1375F">
      <w:pPr>
        <w:keepNext/>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lastRenderedPageBreak/>
        <w:t>§ 2. </w:t>
      </w:r>
      <w:r w:rsidR="0031724D">
        <w:rPr>
          <w:rFonts w:eastAsia="Times New Roman" w:cs="Times New Roman"/>
          <w:lang w:val="en-US" w:eastAsia="fr-BE"/>
        </w:rPr>
        <w:tab/>
      </w:r>
      <w:r w:rsidRPr="006C0690">
        <w:rPr>
          <w:rFonts w:eastAsia="Times New Roman" w:cs="Times New Roman"/>
          <w:lang w:val="en-US" w:eastAsia="fr-BE"/>
        </w:rPr>
        <w:t>The AIFM shall make the following information available:</w:t>
      </w:r>
    </w:p>
    <w:p w:rsidR="00580FAF" w:rsidRPr="006C0690" w:rsidRDefault="00580FAF" w:rsidP="0031724D">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 </w:t>
      </w:r>
      <w:r w:rsidR="0031724D">
        <w:rPr>
          <w:rFonts w:eastAsia="Times New Roman" w:cs="Times New Roman"/>
          <w:lang w:val="en-US" w:eastAsia="fr-BE"/>
        </w:rPr>
        <w:tab/>
      </w:r>
      <w:r w:rsidRPr="006C0690">
        <w:rPr>
          <w:rFonts w:eastAsia="Times New Roman" w:cs="Times New Roman"/>
          <w:lang w:val="en-US" w:eastAsia="fr-BE"/>
        </w:rPr>
        <w:t>the identity of the AIFMs which either individually or in agreement with other AIFMs manage the AIFs that have acquired control;</w:t>
      </w:r>
    </w:p>
    <w:p w:rsidR="00580FAF" w:rsidRPr="006C0690" w:rsidRDefault="00580FAF" w:rsidP="0031724D">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2° </w:t>
      </w:r>
      <w:r w:rsidR="0031724D">
        <w:rPr>
          <w:rFonts w:eastAsia="Times New Roman" w:cs="Times New Roman"/>
          <w:lang w:val="en-US" w:eastAsia="fr-BE"/>
        </w:rPr>
        <w:tab/>
      </w:r>
      <w:r w:rsidRPr="006C0690">
        <w:rPr>
          <w:rFonts w:eastAsia="Times New Roman" w:cs="Times New Roman"/>
          <w:lang w:val="en-US" w:eastAsia="fr-BE"/>
        </w:rPr>
        <w:t>the policy for preventing and managing conflicts of interest, in particular between the AIFM, the AIF and the company, including information about the specific safeguards established to guarantee that any agreements between the AIFM and/or the AIF and the company are concluded at arm's length; and</w:t>
      </w:r>
    </w:p>
    <w:p w:rsidR="00580FAF" w:rsidRPr="006C0690" w:rsidRDefault="00580FAF" w:rsidP="0031724D">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3° </w:t>
      </w:r>
      <w:r w:rsidR="0031724D">
        <w:rPr>
          <w:rFonts w:eastAsia="Times New Roman" w:cs="Times New Roman"/>
          <w:lang w:val="en-US" w:eastAsia="fr-BE"/>
        </w:rPr>
        <w:tab/>
      </w:r>
      <w:r w:rsidRPr="006C0690">
        <w:rPr>
          <w:rFonts w:eastAsia="Times New Roman" w:cs="Times New Roman"/>
          <w:lang w:val="en-US" w:eastAsia="fr-BE"/>
        </w:rPr>
        <w:t>the policy for the company's external and internal communication, in particular as regards employees.</w:t>
      </w:r>
    </w:p>
    <w:p w:rsidR="00580FAF" w:rsidRPr="006C0690" w:rsidRDefault="00580FAF" w:rsidP="00B1375F">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3. </w:t>
      </w:r>
      <w:r w:rsidR="0031724D">
        <w:rPr>
          <w:rFonts w:eastAsia="Times New Roman" w:cs="Times New Roman"/>
          <w:lang w:val="en-US" w:eastAsia="fr-BE"/>
        </w:rPr>
        <w:tab/>
      </w:r>
      <w:r w:rsidRPr="006C0690">
        <w:rPr>
          <w:rFonts w:eastAsia="Times New Roman" w:cs="Times New Roman"/>
          <w:lang w:val="en-US" w:eastAsia="fr-BE"/>
        </w:rPr>
        <w:t xml:space="preserve">In its notification to the non-listed company pursuant to § &amp;, 1°, the AIFM shall request the statutory governing body of the company to inform the employees' representatives or, where there are none, the employees themselves, without delay of the information referred to in § 1. The AIFM shall use its best efforts to guarantee that the employees' representatives or, where there </w:t>
      </w:r>
      <w:proofErr w:type="gramStart"/>
      <w:r w:rsidRPr="006C0690">
        <w:rPr>
          <w:rFonts w:eastAsia="Times New Roman" w:cs="Times New Roman"/>
          <w:lang w:val="en-US" w:eastAsia="fr-BE"/>
        </w:rPr>
        <w:t>are</w:t>
      </w:r>
      <w:proofErr w:type="gramEnd"/>
      <w:r w:rsidRPr="006C0690">
        <w:rPr>
          <w:rFonts w:eastAsia="Times New Roman" w:cs="Times New Roman"/>
          <w:lang w:val="en-US" w:eastAsia="fr-BE"/>
        </w:rPr>
        <w:t xml:space="preserve"> none, the employees themselves, are duly informed by the statutory governing body in accordance with this Article.</w:t>
      </w:r>
    </w:p>
    <w:p w:rsidR="00580FAF" w:rsidRPr="006C0690" w:rsidRDefault="00580FAF" w:rsidP="00B1375F">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4. </w:t>
      </w:r>
      <w:r w:rsidR="0031724D">
        <w:rPr>
          <w:rFonts w:eastAsia="Times New Roman" w:cs="Times New Roman"/>
          <w:lang w:val="en-US" w:eastAsia="fr-BE"/>
        </w:rPr>
        <w:tab/>
      </w:r>
      <w:r w:rsidRPr="006C0690">
        <w:rPr>
          <w:rFonts w:eastAsia="Times New Roman" w:cs="Times New Roman"/>
          <w:lang w:val="en-US" w:eastAsia="fr-BE"/>
        </w:rPr>
        <w:t>When an AIF acquires, individually or jointly, control of a non-listed company pursuant to Articles 76, § 1 and 77, the AIFM managing the AIF shall disclose its intentions with regard to the future business of the company and the likely repercussions on employment, as well as any material change in the conditions of employment, to:</w:t>
      </w:r>
    </w:p>
    <w:p w:rsidR="00580FAF" w:rsidRPr="006C0690" w:rsidRDefault="00580FAF" w:rsidP="0031724D">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 </w:t>
      </w:r>
      <w:r w:rsidR="0031724D">
        <w:rPr>
          <w:rFonts w:eastAsia="Times New Roman" w:cs="Times New Roman"/>
          <w:lang w:val="en-US" w:eastAsia="fr-BE"/>
        </w:rPr>
        <w:tab/>
      </w:r>
      <w:r w:rsidRPr="006C0690">
        <w:rPr>
          <w:rFonts w:eastAsia="Times New Roman" w:cs="Times New Roman"/>
          <w:lang w:val="en-US" w:eastAsia="fr-BE"/>
        </w:rPr>
        <w:t>the company; and</w:t>
      </w:r>
    </w:p>
    <w:p w:rsidR="00580FAF" w:rsidRPr="006C0690" w:rsidRDefault="00580FAF" w:rsidP="0031724D">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2° </w:t>
      </w:r>
      <w:r w:rsidR="0031724D">
        <w:rPr>
          <w:rFonts w:eastAsia="Times New Roman" w:cs="Times New Roman"/>
          <w:lang w:val="en-US" w:eastAsia="fr-BE"/>
        </w:rPr>
        <w:tab/>
      </w:r>
      <w:r w:rsidRPr="006C0690">
        <w:rPr>
          <w:rFonts w:eastAsia="Times New Roman" w:cs="Times New Roman"/>
          <w:lang w:val="en-US" w:eastAsia="fr-BE"/>
        </w:rPr>
        <w:t xml:space="preserve">the company shareholders of which the identities and addresses are available to the AIFM or </w:t>
      </w:r>
      <w:proofErr w:type="gramStart"/>
      <w:r w:rsidRPr="006C0690">
        <w:rPr>
          <w:rFonts w:eastAsia="Times New Roman" w:cs="Times New Roman"/>
          <w:lang w:val="en-US" w:eastAsia="fr-BE"/>
        </w:rPr>
        <w:t>can be made</w:t>
      </w:r>
      <w:proofErr w:type="gramEnd"/>
      <w:r w:rsidRPr="006C0690">
        <w:rPr>
          <w:rFonts w:eastAsia="Times New Roman" w:cs="Times New Roman"/>
          <w:lang w:val="en-US" w:eastAsia="fr-BE"/>
        </w:rPr>
        <w:t xml:space="preserve"> available by the company or through a register to which the AIFM has or can obtain access.</w:t>
      </w:r>
    </w:p>
    <w:p w:rsidR="00580FAF" w:rsidRPr="006C0690" w:rsidRDefault="00580FAF" w:rsidP="0031724D">
      <w:pPr>
        <w:spacing w:before="120" w:after="0" w:line="240" w:lineRule="auto"/>
        <w:ind w:left="426"/>
        <w:jc w:val="both"/>
        <w:rPr>
          <w:rFonts w:eastAsia="Times New Roman" w:cs="Times New Roman"/>
          <w:b/>
          <w:bCs/>
          <w:lang w:val="en-US" w:eastAsia="fr-BE"/>
        </w:rPr>
      </w:pPr>
      <w:r w:rsidRPr="006C0690">
        <w:rPr>
          <w:rFonts w:eastAsia="Times New Roman" w:cs="Times New Roman"/>
          <w:lang w:val="en-US" w:eastAsia="fr-BE"/>
        </w:rPr>
        <w:t xml:space="preserve">In addition, the AIFM managing the AIF shall request and use its best efforts to ensure that the statutory governing body of the company makes available the information set out in the first paragraph to the employees' representatives or, where there </w:t>
      </w:r>
      <w:proofErr w:type="gramStart"/>
      <w:r w:rsidRPr="006C0690">
        <w:rPr>
          <w:rFonts w:eastAsia="Times New Roman" w:cs="Times New Roman"/>
          <w:lang w:val="en-US" w:eastAsia="fr-BE"/>
        </w:rPr>
        <w:t>are</w:t>
      </w:r>
      <w:proofErr w:type="gramEnd"/>
      <w:r w:rsidRPr="006C0690">
        <w:rPr>
          <w:rFonts w:eastAsia="Times New Roman" w:cs="Times New Roman"/>
          <w:lang w:val="en-US" w:eastAsia="fr-BE"/>
        </w:rPr>
        <w:t xml:space="preserve"> none, the employees themselves, of the company.</w:t>
      </w:r>
    </w:p>
    <w:p w:rsidR="00580FAF" w:rsidRPr="006C0690" w:rsidRDefault="00580FAF" w:rsidP="00B1375F">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5. </w:t>
      </w:r>
      <w:r w:rsidR="0031724D">
        <w:rPr>
          <w:rFonts w:eastAsia="Times New Roman" w:cs="Times New Roman"/>
          <w:lang w:val="en-US" w:eastAsia="fr-BE"/>
        </w:rPr>
        <w:tab/>
      </w:r>
      <w:r w:rsidRPr="006C0690">
        <w:rPr>
          <w:rFonts w:eastAsia="Times New Roman" w:cs="Times New Roman"/>
          <w:lang w:val="en-US" w:eastAsia="fr-BE"/>
        </w:rPr>
        <w:t>When an AIF acquires control of a non-listed company pursuant to Articles 76, § 1 and 77, the AIFM managing such an AIF shall provide the FSMA and the AIF's unit-holders with information on the financing of the acquisition of control.</w:t>
      </w:r>
    </w:p>
    <w:p w:rsidR="00580FAF" w:rsidRPr="006C0690" w:rsidRDefault="00580FAF" w:rsidP="0031724D">
      <w:pPr>
        <w:spacing w:before="120" w:after="0" w:line="240" w:lineRule="auto"/>
        <w:jc w:val="both"/>
        <w:rPr>
          <w:rFonts w:eastAsia="Times New Roman" w:cs="Times New Roman"/>
          <w:bCs/>
          <w:i/>
          <w:lang w:val="en-US" w:eastAsia="fr-BE"/>
        </w:rPr>
      </w:pPr>
      <w:r w:rsidRPr="006C0690">
        <w:rPr>
          <w:rFonts w:eastAsia="Times New Roman" w:cs="Times New Roman"/>
          <w:i/>
          <w:lang w:val="en-US" w:eastAsia="fr-BE"/>
        </w:rPr>
        <w:t xml:space="preserve">c. Special provisions regarding the annual report of the non-listed companies that </w:t>
      </w:r>
      <w:proofErr w:type="gramStart"/>
      <w:r w:rsidRPr="006C0690">
        <w:rPr>
          <w:rFonts w:eastAsia="Times New Roman" w:cs="Times New Roman"/>
          <w:i/>
          <w:lang w:val="en-US" w:eastAsia="fr-BE"/>
        </w:rPr>
        <w:t>are controlled</w:t>
      </w:r>
      <w:proofErr w:type="gramEnd"/>
      <w:r w:rsidRPr="006C0690">
        <w:rPr>
          <w:rFonts w:eastAsia="Times New Roman" w:cs="Times New Roman"/>
          <w:i/>
          <w:lang w:val="en-US" w:eastAsia="fr-BE"/>
        </w:rPr>
        <w:t xml:space="preserve"> by an alternative investment fund</w:t>
      </w:r>
    </w:p>
    <w:p w:rsidR="00580FAF" w:rsidRPr="006C0690" w:rsidRDefault="00580FAF" w:rsidP="0031724D">
      <w:pPr>
        <w:spacing w:before="240" w:after="0" w:line="240" w:lineRule="auto"/>
        <w:jc w:val="both"/>
        <w:rPr>
          <w:rFonts w:eastAsia="Times New Roman" w:cs="Times New Roman"/>
          <w:b/>
          <w:bCs/>
          <w:lang w:val="en-US" w:eastAsia="fr-BE"/>
        </w:rPr>
      </w:pPr>
      <w:r w:rsidRPr="006C0690">
        <w:rPr>
          <w:rFonts w:eastAsia="Times New Roman" w:cs="Times New Roman"/>
          <w:b/>
          <w:lang w:val="en-US" w:eastAsia="fr-BE"/>
        </w:rPr>
        <w:t>Article 81</w:t>
      </w:r>
    </w:p>
    <w:p w:rsidR="00580FAF" w:rsidRPr="006C0690" w:rsidRDefault="00580FAF" w:rsidP="00492047">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1. </w:t>
      </w:r>
      <w:r w:rsidR="00492047">
        <w:rPr>
          <w:rFonts w:eastAsia="Times New Roman" w:cs="Times New Roman"/>
          <w:lang w:val="en-US" w:eastAsia="fr-BE"/>
        </w:rPr>
        <w:tab/>
      </w:r>
      <w:proofErr w:type="gramStart"/>
      <w:r w:rsidRPr="006C0690">
        <w:rPr>
          <w:rFonts w:eastAsia="Times New Roman" w:cs="Times New Roman"/>
          <w:lang w:val="en-US" w:eastAsia="fr-BE"/>
        </w:rPr>
        <w:t>When an AIF acquires, individually or jointly, control of a non-listed company pursuant to Articles 76, § 1 and 77, the AIFM managing the AIF shall request and use its best efforts to ensure that the annual report of the company, drawn up in accordance with paragraph 2, is made available by the statutory governing body of the company to the employees' representatives, or where there are none, to the employees themselves within the period in which such an annual report must be drawn up in accordance with the applicable law.</w:t>
      </w:r>
      <w:proofErr w:type="gramEnd"/>
    </w:p>
    <w:p w:rsidR="00580FAF" w:rsidRPr="006C0690" w:rsidRDefault="00580FAF" w:rsidP="00492047">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2. </w:t>
      </w:r>
      <w:r w:rsidR="00492047">
        <w:rPr>
          <w:rFonts w:eastAsia="Times New Roman" w:cs="Times New Roman"/>
          <w:lang w:val="en-US" w:eastAsia="fr-BE"/>
        </w:rPr>
        <w:tab/>
      </w:r>
      <w:r w:rsidRPr="006C0690">
        <w:rPr>
          <w:rFonts w:eastAsia="Times New Roman" w:cs="Times New Roman"/>
          <w:lang w:val="en-US" w:eastAsia="fr-BE"/>
        </w:rPr>
        <w:t xml:space="preserve">The additional information to be included in the annual report of the company or the AIF, pursuant to Article 61, § </w:t>
      </w:r>
      <w:proofErr w:type="gramStart"/>
      <w:r w:rsidRPr="006C0690">
        <w:rPr>
          <w:rFonts w:eastAsia="Times New Roman" w:cs="Times New Roman"/>
          <w:lang w:val="en-US" w:eastAsia="fr-BE"/>
        </w:rPr>
        <w:t>2</w:t>
      </w:r>
      <w:proofErr w:type="gramEnd"/>
      <w:r w:rsidRPr="006C0690">
        <w:rPr>
          <w:rFonts w:eastAsia="Times New Roman" w:cs="Times New Roman"/>
          <w:lang w:val="en-US" w:eastAsia="fr-BE"/>
        </w:rPr>
        <w:t xml:space="preserve">, shall include at least a fair review of the development of the company's business and of the situation at the end of the period covered by the annual report. The report shall also give an indication </w:t>
      </w:r>
      <w:proofErr w:type="gramStart"/>
      <w:r w:rsidRPr="006C0690">
        <w:rPr>
          <w:rFonts w:eastAsia="Times New Roman" w:cs="Times New Roman"/>
          <w:lang w:val="en-US" w:eastAsia="fr-BE"/>
        </w:rPr>
        <w:t>of</w:t>
      </w:r>
      <w:proofErr w:type="gramEnd"/>
      <w:r w:rsidRPr="006C0690">
        <w:rPr>
          <w:rFonts w:eastAsia="Times New Roman" w:cs="Times New Roman"/>
          <w:lang w:val="en-US" w:eastAsia="fr-BE"/>
        </w:rPr>
        <w:t>:</w:t>
      </w:r>
    </w:p>
    <w:p w:rsidR="00580FAF" w:rsidRPr="006C0690" w:rsidRDefault="00580FAF" w:rsidP="00492047">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 </w:t>
      </w:r>
      <w:r w:rsidR="00492047">
        <w:rPr>
          <w:rFonts w:eastAsia="Times New Roman" w:cs="Times New Roman"/>
          <w:lang w:val="en-US" w:eastAsia="fr-BE"/>
        </w:rPr>
        <w:tab/>
      </w:r>
      <w:r w:rsidRPr="006C0690">
        <w:rPr>
          <w:rFonts w:eastAsia="Times New Roman" w:cs="Times New Roman"/>
          <w:lang w:val="en-US" w:eastAsia="fr-BE"/>
        </w:rPr>
        <w:t>all important events that have occurred since the end of the financial year;</w:t>
      </w:r>
    </w:p>
    <w:p w:rsidR="00580FAF" w:rsidRPr="006C0690" w:rsidRDefault="00580FAF" w:rsidP="00492047">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2° </w:t>
      </w:r>
      <w:r w:rsidR="00492047">
        <w:rPr>
          <w:rFonts w:eastAsia="Times New Roman" w:cs="Times New Roman"/>
          <w:lang w:val="en-US" w:eastAsia="fr-BE"/>
        </w:rPr>
        <w:tab/>
      </w:r>
      <w:r w:rsidRPr="006C0690">
        <w:rPr>
          <w:rFonts w:eastAsia="Times New Roman" w:cs="Times New Roman"/>
          <w:lang w:val="en-US" w:eastAsia="fr-BE"/>
        </w:rPr>
        <w:t>the company's likely future development; and</w:t>
      </w:r>
    </w:p>
    <w:p w:rsidR="00580FAF" w:rsidRPr="006C0690" w:rsidRDefault="00580FAF" w:rsidP="00492047">
      <w:pPr>
        <w:spacing w:before="120" w:after="0" w:line="240" w:lineRule="auto"/>
        <w:ind w:left="851" w:hanging="425"/>
        <w:jc w:val="both"/>
        <w:rPr>
          <w:rFonts w:eastAsia="Times New Roman" w:cs="Times New Roman"/>
          <w:lang w:val="en-US" w:eastAsia="fr-BE"/>
        </w:rPr>
      </w:pPr>
      <w:r w:rsidRPr="006C0690">
        <w:rPr>
          <w:rFonts w:eastAsia="Times New Roman" w:cs="Times New Roman"/>
          <w:lang w:val="en-US" w:eastAsia="fr-BE"/>
        </w:rPr>
        <w:t xml:space="preserve">3° </w:t>
      </w:r>
      <w:r w:rsidR="00492047">
        <w:rPr>
          <w:rFonts w:eastAsia="Times New Roman" w:cs="Times New Roman"/>
          <w:lang w:val="en-US" w:eastAsia="fr-BE"/>
        </w:rPr>
        <w:tab/>
      </w:r>
      <w:r w:rsidRPr="006C0690">
        <w:rPr>
          <w:rFonts w:eastAsia="Times New Roman" w:cs="Times New Roman"/>
          <w:lang w:val="en-US" w:eastAsia="fr-BE"/>
        </w:rPr>
        <w:t>the information concerning acquisitions of own shares prescribed by Article 22, paragraph 2 of Directive 77/91/EEC.</w:t>
      </w:r>
    </w:p>
    <w:p w:rsidR="00580FAF" w:rsidRPr="006C0690" w:rsidRDefault="00580FAF" w:rsidP="00492047">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lastRenderedPageBreak/>
        <w:t>§ 3. </w:t>
      </w:r>
      <w:r w:rsidR="00492047">
        <w:rPr>
          <w:rFonts w:eastAsia="Times New Roman" w:cs="Times New Roman"/>
          <w:lang w:val="en-US" w:eastAsia="fr-BE"/>
        </w:rPr>
        <w:tab/>
      </w:r>
      <w:r w:rsidRPr="006C0690">
        <w:rPr>
          <w:rFonts w:eastAsia="Times New Roman" w:cs="Times New Roman"/>
          <w:lang w:val="en-US" w:eastAsia="fr-BE"/>
        </w:rPr>
        <w:t>The AIFM managing the AIF, shall</w:t>
      </w:r>
    </w:p>
    <w:p w:rsidR="00580FAF" w:rsidRPr="006C0690" w:rsidRDefault="00580FAF" w:rsidP="00492047">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1° </w:t>
      </w:r>
      <w:r w:rsidR="00492047">
        <w:rPr>
          <w:rFonts w:eastAsia="Times New Roman" w:cs="Times New Roman"/>
          <w:lang w:val="en-US" w:eastAsia="fr-BE"/>
        </w:rPr>
        <w:tab/>
      </w:r>
      <w:r w:rsidRPr="006C0690">
        <w:rPr>
          <w:rFonts w:eastAsia="Times New Roman" w:cs="Times New Roman"/>
          <w:lang w:val="en-US" w:eastAsia="fr-BE"/>
        </w:rPr>
        <w:t>request and use its best efforts to ensure that the statutory governing body of the company makes available the information referred to in Article 61, § 2 relating to the company concerned to the employees' representatives of the company concerned, or where there are none, to the employees themselves, within the period referred to in Article 60; or</w:t>
      </w:r>
    </w:p>
    <w:p w:rsidR="00580FAF" w:rsidRPr="006C0690" w:rsidRDefault="00580FAF" w:rsidP="00492047">
      <w:pPr>
        <w:spacing w:before="120" w:after="0" w:line="240" w:lineRule="auto"/>
        <w:ind w:left="851" w:hanging="425"/>
        <w:jc w:val="both"/>
        <w:rPr>
          <w:rFonts w:eastAsia="Times New Roman" w:cs="Times New Roman"/>
          <w:b/>
          <w:bCs/>
          <w:lang w:val="en-US" w:eastAsia="fr-BE"/>
        </w:rPr>
      </w:pPr>
      <w:r w:rsidRPr="006C0690">
        <w:rPr>
          <w:rFonts w:eastAsia="Times New Roman" w:cs="Times New Roman"/>
          <w:lang w:val="en-US" w:eastAsia="fr-BE"/>
        </w:rPr>
        <w:t xml:space="preserve">2° </w:t>
      </w:r>
      <w:r w:rsidR="00492047">
        <w:rPr>
          <w:rFonts w:eastAsia="Times New Roman" w:cs="Times New Roman"/>
          <w:lang w:val="en-US" w:eastAsia="fr-BE"/>
        </w:rPr>
        <w:tab/>
      </w:r>
      <w:r w:rsidRPr="006C0690">
        <w:rPr>
          <w:rFonts w:eastAsia="Times New Roman" w:cs="Times New Roman"/>
          <w:lang w:val="en-US" w:eastAsia="fr-BE"/>
        </w:rPr>
        <w:t>make available the information referred to in Article 61, § 2, to the unit-holders of the AIF, in so far as already available, within the period referred to in Article 60 and, in any event, no later than the date on which the annual report of the company is drawn up in accordance with the national applicable law.</w:t>
      </w:r>
    </w:p>
    <w:p w:rsidR="00580FAF" w:rsidRPr="006C0690" w:rsidRDefault="00580FAF" w:rsidP="0031724D">
      <w:pPr>
        <w:spacing w:before="120" w:after="0" w:line="240" w:lineRule="auto"/>
        <w:jc w:val="both"/>
        <w:rPr>
          <w:rFonts w:eastAsia="Times New Roman" w:cs="Times New Roman"/>
          <w:bCs/>
          <w:i/>
          <w:lang w:val="en-US" w:eastAsia="fr-BE"/>
        </w:rPr>
      </w:pPr>
      <w:r w:rsidRPr="006C0690">
        <w:rPr>
          <w:rFonts w:eastAsia="Times New Roman" w:cs="Times New Roman"/>
          <w:i/>
          <w:lang w:val="en-US" w:eastAsia="fr-BE"/>
        </w:rPr>
        <w:t>d. Asset stripping</w:t>
      </w:r>
    </w:p>
    <w:p w:rsidR="00580FAF" w:rsidRPr="006C0690" w:rsidRDefault="00580FAF" w:rsidP="0031724D">
      <w:pPr>
        <w:spacing w:before="240" w:after="0" w:line="240" w:lineRule="auto"/>
        <w:jc w:val="both"/>
        <w:rPr>
          <w:rFonts w:eastAsia="Times New Roman" w:cs="Times New Roman"/>
          <w:b/>
          <w:bCs/>
          <w:lang w:val="en-US" w:eastAsia="fr-BE"/>
        </w:rPr>
      </w:pPr>
      <w:r w:rsidRPr="006C0690">
        <w:rPr>
          <w:rFonts w:eastAsia="Times New Roman" w:cs="Times New Roman"/>
          <w:b/>
          <w:lang w:val="en-US" w:eastAsia="fr-BE"/>
        </w:rPr>
        <w:t>Article 82</w:t>
      </w:r>
    </w:p>
    <w:p w:rsidR="00580FAF" w:rsidRPr="006C0690" w:rsidRDefault="00580FAF" w:rsidP="0031724D">
      <w:pPr>
        <w:spacing w:before="120" w:after="0" w:line="240" w:lineRule="auto"/>
        <w:jc w:val="both"/>
        <w:rPr>
          <w:rFonts w:eastAsia="Times New Roman" w:cs="Times New Roman"/>
          <w:b/>
          <w:bCs/>
          <w:lang w:val="en-US" w:eastAsia="fr-BE"/>
        </w:rPr>
      </w:pPr>
      <w:r w:rsidRPr="006C0690">
        <w:rPr>
          <w:rFonts w:eastAsia="Times New Roman" w:cs="Times New Roman"/>
          <w:lang w:val="en-US" w:eastAsia="fr-BE"/>
        </w:rPr>
        <w:t>When an AIF, individually or jointly, acquires control of a non-listed company or an issuer, the AIFM managing the AIF shall for a period of 24 months following the acquisition of control of the company:</w:t>
      </w:r>
    </w:p>
    <w:p w:rsidR="00580FAF" w:rsidRPr="006C0690" w:rsidRDefault="00580FAF" w:rsidP="0031724D">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xml:space="preserve">1° </w:t>
      </w:r>
      <w:r w:rsidR="0031724D">
        <w:rPr>
          <w:rFonts w:eastAsia="Times New Roman" w:cs="Times New Roman"/>
          <w:lang w:val="en-US" w:eastAsia="fr-BE"/>
        </w:rPr>
        <w:tab/>
      </w:r>
      <w:r w:rsidRPr="006C0690">
        <w:rPr>
          <w:rFonts w:eastAsia="Times New Roman" w:cs="Times New Roman"/>
          <w:lang w:val="en-US" w:eastAsia="fr-BE"/>
        </w:rPr>
        <w:t>not facilitate, support or instruct any distribution, capital reduction, share redemption and/or acquisition of own shares by the company as referred to in Article 83;</w:t>
      </w:r>
    </w:p>
    <w:p w:rsidR="00580FAF" w:rsidRPr="006C0690" w:rsidRDefault="00580FAF" w:rsidP="0031724D">
      <w:pPr>
        <w:spacing w:before="120" w:after="0" w:line="240" w:lineRule="auto"/>
        <w:ind w:left="426" w:hanging="426"/>
        <w:jc w:val="both"/>
        <w:rPr>
          <w:rFonts w:eastAsia="Times New Roman" w:cs="Times New Roman"/>
          <w:b/>
          <w:bCs/>
          <w:lang w:val="en-US" w:eastAsia="fr-BE"/>
        </w:rPr>
      </w:pPr>
      <w:r w:rsidRPr="006C0690">
        <w:rPr>
          <w:rFonts w:eastAsia="Times New Roman" w:cs="Times New Roman"/>
          <w:lang w:val="en-US" w:eastAsia="fr-BE"/>
        </w:rPr>
        <w:t xml:space="preserve">2° </w:t>
      </w:r>
      <w:r w:rsidR="0031724D">
        <w:rPr>
          <w:rFonts w:eastAsia="Times New Roman" w:cs="Times New Roman"/>
          <w:lang w:val="en-US" w:eastAsia="fr-BE"/>
        </w:rPr>
        <w:tab/>
      </w:r>
      <w:r w:rsidRPr="006C0690">
        <w:rPr>
          <w:rFonts w:eastAsia="Times New Roman" w:cs="Times New Roman"/>
          <w:lang w:val="en-US" w:eastAsia="fr-BE"/>
        </w:rPr>
        <w:t xml:space="preserve">not vote in </w:t>
      </w:r>
      <w:proofErr w:type="spellStart"/>
      <w:r w:rsidRPr="006C0690">
        <w:rPr>
          <w:rFonts w:eastAsia="Times New Roman" w:cs="Times New Roman"/>
          <w:lang w:val="en-US" w:eastAsia="fr-BE"/>
        </w:rPr>
        <w:t>favour</w:t>
      </w:r>
      <w:proofErr w:type="spellEnd"/>
      <w:r w:rsidRPr="006C0690">
        <w:rPr>
          <w:rFonts w:eastAsia="Times New Roman" w:cs="Times New Roman"/>
          <w:lang w:val="en-US" w:eastAsia="fr-BE"/>
        </w:rPr>
        <w:t xml:space="preserve"> of a distribution, capital reduction, share redemption and/or acquisition of own shares by the company as referred to in Article 83; and</w:t>
      </w:r>
    </w:p>
    <w:p w:rsidR="00580FAF" w:rsidRPr="006C0690" w:rsidRDefault="00580FAF" w:rsidP="0031724D">
      <w:pPr>
        <w:spacing w:before="120" w:after="0" w:line="240" w:lineRule="auto"/>
        <w:ind w:left="426" w:hanging="426"/>
        <w:jc w:val="both"/>
        <w:rPr>
          <w:rFonts w:eastAsia="Times New Roman" w:cs="Times New Roman"/>
          <w:lang w:val="en-US" w:eastAsia="fr-BE"/>
        </w:rPr>
      </w:pPr>
      <w:r w:rsidRPr="006C0690">
        <w:rPr>
          <w:rFonts w:eastAsia="Times New Roman" w:cs="Times New Roman"/>
          <w:lang w:val="en-US" w:eastAsia="fr-BE"/>
        </w:rPr>
        <w:t xml:space="preserve">3° </w:t>
      </w:r>
      <w:r w:rsidR="0031724D">
        <w:rPr>
          <w:rFonts w:eastAsia="Times New Roman" w:cs="Times New Roman"/>
          <w:lang w:val="en-US" w:eastAsia="fr-BE"/>
        </w:rPr>
        <w:tab/>
      </w:r>
      <w:r w:rsidRPr="006C0690">
        <w:rPr>
          <w:rFonts w:eastAsia="Times New Roman" w:cs="Times New Roman"/>
          <w:lang w:val="en-US" w:eastAsia="fr-BE"/>
        </w:rPr>
        <w:t>in any event use its best efforts to prevent distributions, capital reductions, share redemptions and/or acquisitions of own shares by the company as referred to in Article 83.</w:t>
      </w:r>
    </w:p>
    <w:p w:rsidR="007A4C48" w:rsidRPr="00FA4D8E" w:rsidRDefault="00580FAF" w:rsidP="0031724D">
      <w:pPr>
        <w:spacing w:before="120" w:after="0" w:line="240" w:lineRule="auto"/>
        <w:jc w:val="both"/>
        <w:rPr>
          <w:rFonts w:eastAsia="Times New Roman" w:cs="Times New Roman"/>
          <w:lang w:val="nl-BE" w:eastAsia="fr-BE"/>
        </w:rPr>
      </w:pPr>
      <w:r w:rsidRPr="006C0690">
        <w:rPr>
          <w:rFonts w:eastAsia="Times New Roman" w:cs="Times New Roman"/>
          <w:lang w:val="nl-BE" w:eastAsia="fr-BE"/>
        </w:rPr>
        <w:t>[…]</w:t>
      </w:r>
    </w:p>
    <w:sectPr w:rsidR="007A4C48" w:rsidRPr="00FA4D8E" w:rsidSect="008623E4">
      <w:pgSz w:w="11906" w:h="16838" w:code="9"/>
      <w:pgMar w:top="2495" w:right="991" w:bottom="1418" w:left="851"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CD2" w:rsidRDefault="00FE1CD2" w:rsidP="00882CD2">
      <w:pPr>
        <w:spacing w:after="0" w:line="240" w:lineRule="auto"/>
      </w:pPr>
      <w:r>
        <w:separator/>
      </w:r>
    </w:p>
  </w:endnote>
  <w:endnote w:type="continuationSeparator" w:id="0">
    <w:p w:rsidR="00FE1CD2" w:rsidRDefault="00FE1CD2"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032726"/>
      <w:docPartObj>
        <w:docPartGallery w:val="Page Numbers (Bottom of Page)"/>
        <w:docPartUnique/>
      </w:docPartObj>
    </w:sdtPr>
    <w:sdtEndPr>
      <w:rPr>
        <w:noProof/>
      </w:rPr>
    </w:sdtEndPr>
    <w:sdtContent>
      <w:p w:rsidR="006C0690" w:rsidRPr="00171B28" w:rsidRDefault="006C0690">
        <w:pPr>
          <w:pStyle w:val="Footer"/>
          <w:jc w:val="right"/>
          <w:rPr>
            <w:lang w:val="fr-BE"/>
          </w:rPr>
        </w:pPr>
        <w:r w:rsidRPr="00171B28">
          <w:rPr>
            <w:lang w:val="fr-BE"/>
          </w:rPr>
          <w:t xml:space="preserve"> </w:t>
        </w:r>
      </w:p>
    </w:sdtContent>
  </w:sdt>
  <w:p w:rsidR="006C0690" w:rsidRPr="00EA2441" w:rsidRDefault="006C0690" w:rsidP="00171B28">
    <w:pPr>
      <w:pStyle w:val="Footer"/>
      <w:rPr>
        <w:sz w:val="16"/>
        <w:szCs w:val="16"/>
        <w:lang w:val="fr-BE"/>
      </w:rPr>
    </w:pPr>
    <w:proofErr w:type="gramStart"/>
    <w:r w:rsidRPr="00EA2441">
      <w:rPr>
        <w:sz w:val="16"/>
        <w:szCs w:val="16"/>
        <w:lang w:val="fr-BE"/>
      </w:rPr>
      <w:t>rue</w:t>
    </w:r>
    <w:proofErr w:type="gramEnd"/>
    <w:r w:rsidRPr="00EA2441">
      <w:rPr>
        <w:sz w:val="16"/>
        <w:szCs w:val="16"/>
        <w:lang w:val="fr-BE"/>
      </w:rPr>
      <w:t xml:space="preserve"> du Congrès 12-14</w:t>
    </w:r>
    <w:r w:rsidR="00171B28">
      <w:rPr>
        <w:sz w:val="16"/>
        <w:szCs w:val="16"/>
        <w:lang w:val="fr-BE"/>
      </w:rPr>
      <w:t xml:space="preserve">     </w:t>
    </w:r>
    <w:r w:rsidRPr="00EA2441">
      <w:rPr>
        <w:sz w:val="16"/>
        <w:szCs w:val="16"/>
        <w:lang w:val="fr-BE"/>
      </w:rPr>
      <w:t xml:space="preserve"> </w:t>
    </w:r>
    <w:r w:rsidR="00B621E7">
      <w:rPr>
        <w:sz w:val="16"/>
        <w:szCs w:val="16"/>
        <w:lang w:val="fr-BE"/>
      </w:rPr>
      <w:t xml:space="preserve">     </w:t>
    </w:r>
    <w:r w:rsidR="00171B28">
      <w:rPr>
        <w:sz w:val="16"/>
        <w:szCs w:val="16"/>
        <w:lang w:val="fr-BE"/>
      </w:rPr>
      <w:t xml:space="preserve"> </w:t>
    </w:r>
    <w:r w:rsidRPr="00EA2441">
      <w:rPr>
        <w:sz w:val="16"/>
        <w:szCs w:val="16"/>
        <w:lang w:val="fr-BE"/>
      </w:rPr>
      <w:t xml:space="preserve"> </w:t>
    </w:r>
    <w:r w:rsidR="00B621E7">
      <w:rPr>
        <w:sz w:val="16"/>
        <w:szCs w:val="16"/>
        <w:lang w:val="fr-BE"/>
      </w:rPr>
      <w:t xml:space="preserve"> </w:t>
    </w:r>
    <w:r w:rsidRPr="00EA2441">
      <w:rPr>
        <w:sz w:val="16"/>
        <w:szCs w:val="16"/>
        <w:lang w:val="fr-BE"/>
      </w:rPr>
      <w:t xml:space="preserve">    1000 Brussels</w:t>
    </w:r>
    <w:r w:rsidR="00171B28">
      <w:rPr>
        <w:sz w:val="16"/>
        <w:szCs w:val="16"/>
        <w:lang w:val="fr-BE"/>
      </w:rPr>
      <w:t xml:space="preserve">    </w:t>
    </w:r>
    <w:r w:rsidRPr="00EA2441">
      <w:rPr>
        <w:sz w:val="16"/>
        <w:szCs w:val="16"/>
        <w:lang w:val="fr-BE"/>
      </w:rPr>
      <w:t xml:space="preserve">   </w:t>
    </w:r>
    <w:r w:rsidR="00B621E7">
      <w:rPr>
        <w:sz w:val="16"/>
        <w:szCs w:val="16"/>
        <w:lang w:val="fr-BE"/>
      </w:rPr>
      <w:t xml:space="preserve">    </w:t>
    </w:r>
    <w:r w:rsidRPr="00EA2441">
      <w:rPr>
        <w:sz w:val="16"/>
        <w:szCs w:val="16"/>
        <w:lang w:val="fr-BE"/>
      </w:rPr>
      <w:t xml:space="preserve"> </w:t>
    </w:r>
    <w:r w:rsidR="00171B28">
      <w:rPr>
        <w:sz w:val="16"/>
        <w:szCs w:val="16"/>
        <w:lang w:val="fr-BE"/>
      </w:rPr>
      <w:t xml:space="preserve">        T +32 2 220 55 25</w:t>
    </w:r>
    <w:r w:rsidRPr="00EA2441">
      <w:rPr>
        <w:sz w:val="16"/>
        <w:szCs w:val="16"/>
        <w:lang w:val="fr-BE"/>
      </w:rPr>
      <w:t xml:space="preserve">     </w:t>
    </w:r>
    <w:r w:rsidR="00171B28">
      <w:rPr>
        <w:sz w:val="16"/>
        <w:szCs w:val="16"/>
        <w:lang w:val="fr-BE"/>
      </w:rPr>
      <w:t xml:space="preserve">                          F +32 2 220 59 30</w:t>
    </w:r>
    <w:r w:rsidRPr="00EA2441">
      <w:rPr>
        <w:sz w:val="16"/>
        <w:szCs w:val="16"/>
        <w:lang w:val="fr-BE"/>
      </w:rPr>
      <w:tab/>
      <w:t>/ www.fsma.be</w:t>
    </w:r>
  </w:p>
  <w:p w:rsidR="006C0690" w:rsidRPr="00171B28" w:rsidRDefault="006C0690">
    <w:pPr>
      <w:rPr>
        <w:lang w:val="fr-B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90" w:rsidRPr="00580FAF" w:rsidRDefault="006C0690" w:rsidP="003554C9">
    <w:pPr>
      <w:pStyle w:val="Footer"/>
      <w:tabs>
        <w:tab w:val="clear" w:pos="4513"/>
        <w:tab w:val="clear" w:pos="9026"/>
        <w:tab w:val="left" w:pos="5126"/>
      </w:tabs>
      <w:rPr>
        <w:rFonts w:ascii="Gotham Rounded Book" w:hAnsi="Gotham Rounded Book"/>
        <w:b/>
        <w:color w:val="002244"/>
        <w:sz w:val="16"/>
        <w:szCs w:val="16"/>
      </w:rPr>
    </w:pPr>
    <w:r w:rsidRPr="00580FAF">
      <w:rPr>
        <w:rFonts w:ascii="Gotham Rounded Book" w:hAnsi="Gotham Rounded Book"/>
        <w:b/>
        <w:color w:val="BBCCCC"/>
        <w:sz w:val="16"/>
        <w:szCs w:val="16"/>
      </w:rPr>
      <w:t>/</w:t>
    </w:r>
    <w:r w:rsidRPr="00636014">
      <w:rPr>
        <w:rFonts w:ascii="Gotham Rounded Book" w:hAnsi="Gotham Rounded Book"/>
        <w:sz w:val="16"/>
        <w:szCs w:val="16"/>
      </w:rPr>
      <w:t xml:space="preserve"> </w:t>
    </w:r>
    <w:r w:rsidRPr="00580FAF">
      <w:rPr>
        <w:rFonts w:ascii="Gotham Rounded Book" w:hAnsi="Gotham Rounded Book"/>
        <w:color w:val="002244"/>
        <w:sz w:val="16"/>
        <w:szCs w:val="16"/>
      </w:rPr>
      <w:t>FSMA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90" w:rsidRPr="00580FAF" w:rsidRDefault="006C0690" w:rsidP="00EF702F">
    <w:pPr>
      <w:pStyle w:val="Footer"/>
      <w:tabs>
        <w:tab w:val="clear" w:pos="4513"/>
        <w:tab w:val="clear" w:pos="9026"/>
        <w:tab w:val="left" w:pos="5126"/>
      </w:tabs>
      <w:rPr>
        <w:rFonts w:ascii="Gotham Rounded Book" w:hAnsi="Gotham Rounded Book"/>
        <w:b/>
        <w:color w:val="002244"/>
        <w:sz w:val="16"/>
        <w:szCs w:val="16"/>
      </w:rPr>
    </w:pPr>
    <w:r w:rsidRPr="00580FAF">
      <w:rPr>
        <w:rFonts w:ascii="Gotham Rounded Book" w:hAnsi="Gotham Rounded Book"/>
        <w:b/>
        <w:color w:val="BBCCCC"/>
        <w:sz w:val="16"/>
        <w:szCs w:val="16"/>
      </w:rPr>
      <w:t>/</w:t>
    </w:r>
    <w:r w:rsidRPr="00636014">
      <w:rPr>
        <w:rFonts w:ascii="Gotham Rounded Book" w:hAnsi="Gotham Rounded Book"/>
        <w:sz w:val="16"/>
        <w:szCs w:val="16"/>
      </w:rPr>
      <w:t xml:space="preserve"> </w:t>
    </w:r>
    <w:r w:rsidRPr="00580FAF">
      <w:rPr>
        <w:rFonts w:ascii="Gotham Rounded Book" w:hAnsi="Gotham Rounded Book"/>
        <w:color w:val="002244"/>
        <w:sz w:val="16"/>
        <w:szCs w:val="16"/>
      </w:rPr>
      <w:t>FSMA</w:t>
    </w:r>
  </w:p>
  <w:p w:rsidR="006C0690" w:rsidRPr="00EF702F" w:rsidRDefault="006C0690" w:rsidP="00EF7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CD2" w:rsidRDefault="00FE1CD2" w:rsidP="00882CD2">
      <w:pPr>
        <w:spacing w:after="0" w:line="240" w:lineRule="auto"/>
      </w:pPr>
      <w:r>
        <w:separator/>
      </w:r>
    </w:p>
  </w:footnote>
  <w:footnote w:type="continuationSeparator" w:id="0">
    <w:p w:rsidR="00FE1CD2" w:rsidRDefault="00FE1CD2" w:rsidP="00882CD2">
      <w:pPr>
        <w:spacing w:after="0" w:line="240" w:lineRule="auto"/>
      </w:pPr>
      <w:r>
        <w:continuationSeparator/>
      </w:r>
    </w:p>
  </w:footnote>
  <w:footnote w:id="1">
    <w:p w:rsidR="00171B28" w:rsidRPr="00F2413E" w:rsidRDefault="00171B28" w:rsidP="00171B28">
      <w:pPr>
        <w:pStyle w:val="FootnoteText"/>
        <w:ind w:left="284" w:hanging="284"/>
        <w:jc w:val="both"/>
        <w:rPr>
          <w:rFonts w:asciiTheme="minorHAnsi" w:hAnsiTheme="minorHAnsi"/>
          <w:sz w:val="16"/>
          <w:szCs w:val="16"/>
          <w:lang w:val="en-US"/>
        </w:rPr>
      </w:pPr>
      <w:r>
        <w:rPr>
          <w:rStyle w:val="FootnoteReference"/>
        </w:rPr>
        <w:footnoteRef/>
      </w:r>
      <w:r w:rsidRPr="007A623B">
        <w:rPr>
          <w:lang w:val="en-US"/>
        </w:rPr>
        <w:t xml:space="preserve"> </w:t>
      </w:r>
      <w:r>
        <w:rPr>
          <w:lang w:val="en-US"/>
        </w:rPr>
        <w:tab/>
      </w:r>
      <w:r w:rsidRPr="00F2413E">
        <w:rPr>
          <w:rFonts w:asciiTheme="minorHAnsi" w:hAnsiTheme="minorHAnsi"/>
          <w:sz w:val="16"/>
          <w:szCs w:val="16"/>
          <w:lang w:val="en-US"/>
        </w:rPr>
        <w:t>Art. 42 of Directive 2011/61/EU of the European Parliament and of the Council of 8 June 2011 on Alternative Investment Fund Managers and amending Directives 2003/41/EC and 2009/65/EC and Regulations (EC) No 1060/2009 and (EU) No 1095/2010; articles 497 to 499 of the Belgian AIFM Law of 19 April 2014.</w:t>
      </w:r>
    </w:p>
  </w:footnote>
  <w:footnote w:id="2">
    <w:p w:rsidR="00AB6764" w:rsidRPr="00860179" w:rsidRDefault="00AB6764" w:rsidP="00F2413E">
      <w:pPr>
        <w:pStyle w:val="FootnoteText"/>
        <w:ind w:left="284" w:hanging="284"/>
        <w:jc w:val="both"/>
        <w:rPr>
          <w:lang w:val="en-US"/>
        </w:rPr>
      </w:pPr>
      <w:r>
        <w:rPr>
          <w:rStyle w:val="FootnoteReference"/>
        </w:rPr>
        <w:footnoteRef/>
      </w:r>
      <w:r w:rsidRPr="00860179">
        <w:rPr>
          <w:lang w:val="en-US"/>
        </w:rPr>
        <w:t xml:space="preserve"> </w:t>
      </w:r>
      <w:r>
        <w:rPr>
          <w:lang w:val="en-US"/>
        </w:rPr>
        <w:tab/>
      </w:r>
      <w:r w:rsidRPr="00B25AD5">
        <w:rPr>
          <w:sz w:val="16"/>
          <w:szCs w:val="16"/>
          <w:lang w:val="en-US"/>
        </w:rPr>
        <w:t>If the AIF takes the form of an umbrella AIF with multiple compartments, AIFMs should only indicate the name of the compartments of the umbre</w:t>
      </w:r>
      <w:r>
        <w:rPr>
          <w:sz w:val="16"/>
          <w:szCs w:val="16"/>
          <w:lang w:val="en-US"/>
        </w:rPr>
        <w:t>lla AIF notified for marketing.</w:t>
      </w:r>
    </w:p>
  </w:footnote>
  <w:footnote w:id="3">
    <w:p w:rsidR="00AB6764" w:rsidRPr="009F3EF9" w:rsidRDefault="00AB6764" w:rsidP="00F2413E">
      <w:pPr>
        <w:pStyle w:val="FootnoteText"/>
        <w:ind w:left="284" w:hanging="284"/>
        <w:jc w:val="both"/>
        <w:rPr>
          <w:lang w:val="en-US"/>
        </w:rPr>
      </w:pPr>
      <w:r>
        <w:rPr>
          <w:rStyle w:val="FootnoteReference"/>
        </w:rPr>
        <w:footnoteRef/>
      </w:r>
      <w:r w:rsidRPr="009F3EF9">
        <w:rPr>
          <w:lang w:val="en-US"/>
        </w:rPr>
        <w:t xml:space="preserve"> </w:t>
      </w:r>
      <w:r>
        <w:rPr>
          <w:lang w:val="en-US"/>
        </w:rPr>
        <w:tab/>
      </w:r>
      <w:r>
        <w:rPr>
          <w:sz w:val="16"/>
          <w:szCs w:val="16"/>
          <w:lang w:val="en-US"/>
        </w:rPr>
        <w:t>C</w:t>
      </w:r>
      <w:r w:rsidRPr="009F3EF9">
        <w:rPr>
          <w:sz w:val="16"/>
          <w:szCs w:val="16"/>
          <w:lang w:val="en-US"/>
        </w:rPr>
        <w:t>ommon fund, unit trust, investment company, partnership, other</w:t>
      </w:r>
      <w:r>
        <w:rPr>
          <w:sz w:val="16"/>
          <w:szCs w:val="16"/>
          <w:lang w:val="en-US"/>
        </w:rPr>
        <w:t>.</w:t>
      </w:r>
    </w:p>
  </w:footnote>
  <w:footnote w:id="4">
    <w:p w:rsidR="00AB6764" w:rsidRPr="009F3EF9" w:rsidRDefault="00AB6764" w:rsidP="00F2413E">
      <w:pPr>
        <w:pStyle w:val="FootnoteText"/>
        <w:ind w:left="284" w:hanging="284"/>
        <w:jc w:val="both"/>
        <w:rPr>
          <w:lang w:val="en-US"/>
        </w:rPr>
      </w:pPr>
      <w:r>
        <w:rPr>
          <w:rStyle w:val="FootnoteReference"/>
        </w:rPr>
        <w:footnoteRef/>
      </w:r>
      <w:r w:rsidRPr="009F3EF9">
        <w:rPr>
          <w:lang w:val="en-US"/>
        </w:rPr>
        <w:t xml:space="preserve"> </w:t>
      </w:r>
      <w:r>
        <w:rPr>
          <w:lang w:val="en-US"/>
        </w:rPr>
        <w:tab/>
      </w:r>
      <w:r w:rsidRPr="009F3EF9">
        <w:rPr>
          <w:sz w:val="16"/>
          <w:szCs w:val="16"/>
          <w:lang w:val="en-US"/>
        </w:rPr>
        <w:t>Only if the fund to be marketed is a feeder fund.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8"/>
      <w:gridCol w:w="3572"/>
      <w:gridCol w:w="3516"/>
    </w:tblGrid>
    <w:tr w:rsidR="006C0690" w:rsidTr="00EA2441">
      <w:trPr>
        <w:trHeight w:val="1077"/>
      </w:trPr>
      <w:tc>
        <w:tcPr>
          <w:tcW w:w="3118" w:type="dxa"/>
        </w:tcPr>
        <w:p w:rsidR="006C0690" w:rsidRDefault="006C0690" w:rsidP="00EA2441">
          <w:pPr>
            <w:pStyle w:val="Header"/>
            <w:rPr>
              <w:noProof/>
              <w:lang w:val="fr-BE" w:eastAsia="fr-BE"/>
            </w:rPr>
          </w:pPr>
        </w:p>
        <w:p w:rsidR="006C0690" w:rsidRDefault="006C0690" w:rsidP="00EA2441">
          <w:pPr>
            <w:pStyle w:val="Header"/>
            <w:rPr>
              <w:noProof/>
              <w:lang w:val="fr-BE" w:eastAsia="fr-BE"/>
            </w:rPr>
          </w:pPr>
        </w:p>
        <w:p w:rsidR="006C0690" w:rsidRDefault="006C0690" w:rsidP="00EA2441">
          <w:pPr>
            <w:pStyle w:val="Header"/>
          </w:pPr>
          <w:r>
            <w:rPr>
              <w:noProof/>
              <w:lang w:val="fr-BE" w:eastAsia="fr-BE"/>
            </w:rPr>
            <w:drawing>
              <wp:anchor distT="0" distB="0" distL="114300" distR="114300" simplePos="0" relativeHeight="251661312" behindDoc="0" locked="0" layoutInCell="1" allowOverlap="1" wp14:anchorId="0A424FCD" wp14:editId="0A424FCE">
                <wp:simplePos x="0" y="0"/>
                <wp:positionH relativeFrom="page">
                  <wp:posOffset>0</wp:posOffset>
                </wp:positionH>
                <wp:positionV relativeFrom="page">
                  <wp:posOffset>4445</wp:posOffset>
                </wp:positionV>
                <wp:extent cx="1817533" cy="1009402"/>
                <wp:effectExtent l="19050" t="0" r="0" b="0"/>
                <wp:wrapNone/>
                <wp:docPr id="5"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tc>
      <w:tc>
        <w:tcPr>
          <w:tcW w:w="3572" w:type="dxa"/>
        </w:tcPr>
        <w:p w:rsidR="006C0690" w:rsidRDefault="006C0690" w:rsidP="00EA2441">
          <w:pPr>
            <w:pStyle w:val="Header"/>
          </w:pPr>
        </w:p>
      </w:tc>
      <w:tc>
        <w:tcPr>
          <w:tcW w:w="3516" w:type="dxa"/>
        </w:tcPr>
        <w:p w:rsidR="00A809C8" w:rsidRDefault="00A809C8" w:rsidP="00EA2441">
          <w:pPr>
            <w:pStyle w:val="Header"/>
          </w:pPr>
        </w:p>
        <w:p w:rsidR="006C0690" w:rsidRPr="00A809C8" w:rsidRDefault="006C0690" w:rsidP="00A809C8">
          <w:pPr>
            <w:tabs>
              <w:tab w:val="left" w:pos="2310"/>
            </w:tabs>
            <w:jc w:val="right"/>
          </w:pPr>
        </w:p>
      </w:tc>
    </w:tr>
  </w:tbl>
  <w:p w:rsidR="006C0690" w:rsidRDefault="006C06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90" w:rsidRPr="00022F1B" w:rsidRDefault="006C0690"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rsidR="006C0690" w:rsidRPr="00A60EE1" w:rsidRDefault="006C069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770354">
      <w:rPr>
        <w:b/>
        <w:noProof/>
        <w:sz w:val="14"/>
        <w:szCs w:val="14"/>
      </w:rPr>
      <w:t>14</w:t>
    </w:r>
    <w:r w:rsidRPr="00930E51">
      <w:rPr>
        <w:b/>
        <w:sz w:val="14"/>
        <w:szCs w:val="14"/>
      </w:rPr>
      <w:fldChar w:fldCharType="end"/>
    </w:r>
    <w:r>
      <w:rPr>
        <w:b/>
        <w:sz w:val="14"/>
        <w:szCs w:val="14"/>
      </w:rPr>
      <w:t>/</w:t>
    </w:r>
    <w:fldSimple w:instr=" NUMPAGES   \* MERGEFORMAT ">
      <w:r w:rsidR="00770354" w:rsidRPr="00770354">
        <w:rPr>
          <w:b/>
          <w:noProof/>
          <w:sz w:val="14"/>
          <w:szCs w:val="14"/>
        </w:rPr>
        <w:t>14</w:t>
      </w:r>
    </w:fldSimple>
    <w:r>
      <w:rPr>
        <w:sz w:val="14"/>
        <w:szCs w:val="14"/>
      </w:rPr>
      <w:t xml:space="preserve"> </w:t>
    </w:r>
    <w:r w:rsidRPr="00580FAF">
      <w:rPr>
        <w:b/>
        <w:color w:val="BBCCCC"/>
        <w:sz w:val="14"/>
        <w:szCs w:val="14"/>
      </w:rPr>
      <w:t>/</w:t>
    </w:r>
    <w:bookmarkStart w:id="2" w:name="bkmOurReference2"/>
    <w:bookmarkEnd w:id="2"/>
    <w:r>
      <w:rPr>
        <w:sz w:val="14"/>
        <w:szCs w:val="14"/>
      </w:rPr>
      <w:t xml:space="preserve"> </w:t>
    </w:r>
    <w:sdt>
      <w:sdtPr>
        <w:rPr>
          <w:sz w:val="14"/>
          <w:szCs w:val="14"/>
          <w:lang w:val="af-ZA"/>
        </w:rPr>
        <w:alias w:val="Subject"/>
        <w:id w:val="-1249654699"/>
        <w:placeholder>
          <w:docPart w:val="420881E410CF4042881333A79219663D"/>
        </w:placeholder>
        <w:dataBinding w:prefixMappings="xmlns:ns0='http://purl.org/dc/elements/1.1/' xmlns:ns1='http://schemas.openxmlformats.org/package/2006/metadata/core-properties' " w:xpath="/ns1:coreProperties[1]/ns0:subject[1]" w:storeItemID="{6C3C8BC8-F283-45AE-878A-BAB7291924A1}"/>
        <w:text/>
      </w:sdtPr>
      <w:sdtEndPr/>
      <w:sdtContent>
        <w:r w:rsidR="003D6D76">
          <w:rPr>
            <w:sz w:val="14"/>
            <w:szCs w:val="14"/>
            <w:lang w:val="af-ZA"/>
          </w:rPr>
          <w:t>FSMA_2017_06</w:t>
        </w:r>
      </w:sdtContent>
    </w:sdt>
    <w:r w:rsidRPr="009653AD">
      <w:rPr>
        <w:sz w:val="14"/>
        <w:szCs w:val="14"/>
        <w:lang w:val="af-ZA"/>
      </w:rPr>
      <w:t xml:space="preserve"> </w:t>
    </w:r>
    <w:r>
      <w:rPr>
        <w:sz w:val="14"/>
        <w:szCs w:val="14"/>
        <w:lang w:val="af-ZA"/>
      </w:rPr>
      <w:t xml:space="preserve">of </w:t>
    </w:r>
    <w:sdt>
      <w:sdtPr>
        <w:rPr>
          <w:sz w:val="14"/>
          <w:szCs w:val="14"/>
          <w:lang w:val="af-ZA"/>
        </w:rPr>
        <w:id w:val="-832531856"/>
        <w:placeholder>
          <w:docPart w:val="D4F23F69EB5A41A2915C24729253038C"/>
        </w:placeholder>
        <w:date w:fullDate="2017-02-24T00:00:00Z">
          <w:dateFormat w:val="d/MM/yyyy"/>
          <w:lid w:val="nl-BE"/>
          <w:storeMappedDataAs w:val="dateTime"/>
          <w:calendar w:val="gregorian"/>
        </w:date>
      </w:sdtPr>
      <w:sdtEndPr/>
      <w:sdtContent>
        <w:r w:rsidR="002E498C">
          <w:rPr>
            <w:sz w:val="14"/>
            <w:szCs w:val="14"/>
            <w:lang w:val="nl-BE"/>
          </w:rPr>
          <w:t>24/02/2017</w:t>
        </w:r>
      </w:sdtContent>
    </w:sdt>
    <w:r>
      <w:rPr>
        <w:sz w:val="14"/>
        <w:szCs w:val="14"/>
      </w:rPr>
      <w:tab/>
    </w:r>
    <w:bookmarkStart w:id="3" w:name="bkmTitle2"/>
    <w:bookmarkEnd w:id="3"/>
  </w:p>
  <w:p w:rsidR="006C0690" w:rsidRDefault="006C069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90" w:rsidRDefault="006C0690">
    <w:pPr>
      <w:pStyle w:val="Heade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770354">
      <w:rPr>
        <w:b/>
        <w:noProof/>
        <w:sz w:val="14"/>
        <w:szCs w:val="14"/>
      </w:rPr>
      <w:t>5</w:t>
    </w:r>
    <w:r w:rsidRPr="00930E51">
      <w:rPr>
        <w:b/>
        <w:sz w:val="14"/>
        <w:szCs w:val="14"/>
      </w:rPr>
      <w:fldChar w:fldCharType="end"/>
    </w:r>
    <w:r>
      <w:rPr>
        <w:b/>
        <w:sz w:val="14"/>
        <w:szCs w:val="14"/>
      </w:rPr>
      <w:t>/</w:t>
    </w:r>
    <w:fldSimple w:instr=" NUMPAGES   \* MERGEFORMAT ">
      <w:r w:rsidR="00770354" w:rsidRPr="00770354">
        <w:rPr>
          <w:b/>
          <w:noProof/>
          <w:sz w:val="14"/>
          <w:szCs w:val="14"/>
        </w:rPr>
        <w:t>14</w:t>
      </w:r>
    </w:fldSimple>
    <w:r>
      <w:rPr>
        <w:sz w:val="14"/>
        <w:szCs w:val="14"/>
      </w:rPr>
      <w:t xml:space="preserve"> </w:t>
    </w:r>
    <w:r w:rsidRPr="00580FAF">
      <w:rPr>
        <w:b/>
        <w:color w:val="BBCCCC"/>
        <w:sz w:val="14"/>
        <w:szCs w:val="14"/>
      </w:rPr>
      <w:t>/</w:t>
    </w:r>
    <w:r>
      <w:rPr>
        <w:sz w:val="14"/>
        <w:szCs w:val="14"/>
      </w:rPr>
      <w:t xml:space="preserve"> </w:t>
    </w:r>
    <w:sdt>
      <w:sdtPr>
        <w:rPr>
          <w:sz w:val="14"/>
          <w:szCs w:val="14"/>
          <w:lang w:val="af-ZA"/>
        </w:rPr>
        <w:alias w:val="Subject"/>
        <w:id w:val="926146872"/>
        <w:placeholder>
          <w:docPart w:val="DC6512F5DECB4E67B3F7FCC36D3FD1C1"/>
        </w:placeholder>
        <w:dataBinding w:prefixMappings="xmlns:ns0='http://purl.org/dc/elements/1.1/' xmlns:ns1='http://schemas.openxmlformats.org/package/2006/metadata/core-properties' " w:xpath="/ns1:coreProperties[1]/ns0:subject[1]" w:storeItemID="{6C3C8BC8-F283-45AE-878A-BAB7291924A1}"/>
        <w:text/>
      </w:sdtPr>
      <w:sdtEndPr/>
      <w:sdtContent>
        <w:r w:rsidR="003D6D76">
          <w:rPr>
            <w:sz w:val="14"/>
            <w:szCs w:val="14"/>
            <w:lang w:val="af-ZA"/>
          </w:rPr>
          <w:t>FSMA_2017_06</w:t>
        </w:r>
      </w:sdtContent>
    </w:sdt>
    <w:r w:rsidRPr="009653AD">
      <w:rPr>
        <w:sz w:val="14"/>
        <w:szCs w:val="14"/>
        <w:lang w:val="af-ZA"/>
      </w:rPr>
      <w:t xml:space="preserve"> </w:t>
    </w:r>
    <w:r>
      <w:rPr>
        <w:sz w:val="14"/>
        <w:szCs w:val="14"/>
        <w:lang w:val="af-ZA"/>
      </w:rPr>
      <w:t xml:space="preserve">of </w:t>
    </w:r>
    <w:sdt>
      <w:sdtPr>
        <w:rPr>
          <w:sz w:val="14"/>
          <w:szCs w:val="14"/>
          <w:lang w:val="af-ZA"/>
        </w:rPr>
        <w:id w:val="-2085290406"/>
        <w:placeholder>
          <w:docPart w:val="E0CAE92CB1CF40A5BE14435AED2CABF7"/>
        </w:placeholder>
        <w:date w:fullDate="2017-02-24T00:00:00Z">
          <w:dateFormat w:val="d/MM/yyyy"/>
          <w:lid w:val="nl-BE"/>
          <w:storeMappedDataAs w:val="dateTime"/>
          <w:calendar w:val="gregorian"/>
        </w:date>
      </w:sdtPr>
      <w:sdtEndPr/>
      <w:sdtContent>
        <w:r w:rsidR="003D6D76">
          <w:rPr>
            <w:sz w:val="14"/>
            <w:szCs w:val="14"/>
            <w:lang w:val="nl-BE"/>
          </w:rPr>
          <w:t>24/02/2017</w:t>
        </w:r>
      </w:sdtContent>
    </w:sdt>
    <w:r>
      <w:rPr>
        <w:noProof/>
        <w:lang w:val="fr-BE" w:eastAsia="fr-B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54E"/>
    <w:multiLevelType w:val="hybridMultilevel"/>
    <w:tmpl w:val="2E3C01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00E3985"/>
    <w:multiLevelType w:val="hybridMultilevel"/>
    <w:tmpl w:val="A6AA33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D8"/>
    <w:rsid w:val="00022F1B"/>
    <w:rsid w:val="0003015F"/>
    <w:rsid w:val="00031EA1"/>
    <w:rsid w:val="00042475"/>
    <w:rsid w:val="0007146D"/>
    <w:rsid w:val="00083008"/>
    <w:rsid w:val="00095003"/>
    <w:rsid w:val="000B4062"/>
    <w:rsid w:val="000D2073"/>
    <w:rsid w:val="000F6E4C"/>
    <w:rsid w:val="0010797A"/>
    <w:rsid w:val="001114D2"/>
    <w:rsid w:val="00115592"/>
    <w:rsid w:val="00116E7B"/>
    <w:rsid w:val="00123B9B"/>
    <w:rsid w:val="00126171"/>
    <w:rsid w:val="00133138"/>
    <w:rsid w:val="0014237E"/>
    <w:rsid w:val="00142A64"/>
    <w:rsid w:val="0014758E"/>
    <w:rsid w:val="00163B3A"/>
    <w:rsid w:val="00171B28"/>
    <w:rsid w:val="0017439D"/>
    <w:rsid w:val="001777F7"/>
    <w:rsid w:val="00196400"/>
    <w:rsid w:val="001A0F7B"/>
    <w:rsid w:val="001B5108"/>
    <w:rsid w:val="001C60C1"/>
    <w:rsid w:val="001C7498"/>
    <w:rsid w:val="001D3324"/>
    <w:rsid w:val="001D632D"/>
    <w:rsid w:val="001D7CEF"/>
    <w:rsid w:val="001F3481"/>
    <w:rsid w:val="00201F57"/>
    <w:rsid w:val="0021658D"/>
    <w:rsid w:val="002239C3"/>
    <w:rsid w:val="002368EB"/>
    <w:rsid w:val="00246D73"/>
    <w:rsid w:val="0026408C"/>
    <w:rsid w:val="0027345F"/>
    <w:rsid w:val="0027735D"/>
    <w:rsid w:val="00280E10"/>
    <w:rsid w:val="002A4B22"/>
    <w:rsid w:val="002A6267"/>
    <w:rsid w:val="002B5070"/>
    <w:rsid w:val="002C5147"/>
    <w:rsid w:val="002E4873"/>
    <w:rsid w:val="002E498C"/>
    <w:rsid w:val="00302E5A"/>
    <w:rsid w:val="0031724D"/>
    <w:rsid w:val="00327D6A"/>
    <w:rsid w:val="00335E47"/>
    <w:rsid w:val="003447B9"/>
    <w:rsid w:val="003519A2"/>
    <w:rsid w:val="003554C9"/>
    <w:rsid w:val="003902FA"/>
    <w:rsid w:val="00394B87"/>
    <w:rsid w:val="003A04E7"/>
    <w:rsid w:val="003A4C79"/>
    <w:rsid w:val="003D04CE"/>
    <w:rsid w:val="003D6D76"/>
    <w:rsid w:val="003F4914"/>
    <w:rsid w:val="00403663"/>
    <w:rsid w:val="00405155"/>
    <w:rsid w:val="00412C74"/>
    <w:rsid w:val="00414650"/>
    <w:rsid w:val="0043279B"/>
    <w:rsid w:val="00437A14"/>
    <w:rsid w:val="004423A2"/>
    <w:rsid w:val="0049090F"/>
    <w:rsid w:val="00492047"/>
    <w:rsid w:val="00495DFB"/>
    <w:rsid w:val="004E3C43"/>
    <w:rsid w:val="004E3FE0"/>
    <w:rsid w:val="004F3AD8"/>
    <w:rsid w:val="005131A3"/>
    <w:rsid w:val="00521207"/>
    <w:rsid w:val="0054674E"/>
    <w:rsid w:val="00553DC9"/>
    <w:rsid w:val="00570CC8"/>
    <w:rsid w:val="00580FAF"/>
    <w:rsid w:val="005824AA"/>
    <w:rsid w:val="005868EA"/>
    <w:rsid w:val="00593F2A"/>
    <w:rsid w:val="005A01D5"/>
    <w:rsid w:val="005B10E2"/>
    <w:rsid w:val="005B148A"/>
    <w:rsid w:val="005C151E"/>
    <w:rsid w:val="005C78A6"/>
    <w:rsid w:val="005D47A1"/>
    <w:rsid w:val="005F38DD"/>
    <w:rsid w:val="0060097B"/>
    <w:rsid w:val="00636014"/>
    <w:rsid w:val="00643E9F"/>
    <w:rsid w:val="00647F08"/>
    <w:rsid w:val="00650D96"/>
    <w:rsid w:val="00653354"/>
    <w:rsid w:val="006634DC"/>
    <w:rsid w:val="00690925"/>
    <w:rsid w:val="00691CF3"/>
    <w:rsid w:val="006932C9"/>
    <w:rsid w:val="006A2B06"/>
    <w:rsid w:val="006A6BD7"/>
    <w:rsid w:val="006C0690"/>
    <w:rsid w:val="006C79D9"/>
    <w:rsid w:val="006D4529"/>
    <w:rsid w:val="006D5FB7"/>
    <w:rsid w:val="00707E24"/>
    <w:rsid w:val="0073513A"/>
    <w:rsid w:val="0074255C"/>
    <w:rsid w:val="00750C99"/>
    <w:rsid w:val="00752B7C"/>
    <w:rsid w:val="00755C71"/>
    <w:rsid w:val="00766A3E"/>
    <w:rsid w:val="00770354"/>
    <w:rsid w:val="0077431A"/>
    <w:rsid w:val="007945CB"/>
    <w:rsid w:val="007A4C48"/>
    <w:rsid w:val="007A5882"/>
    <w:rsid w:val="007B61B3"/>
    <w:rsid w:val="007B7678"/>
    <w:rsid w:val="007C0735"/>
    <w:rsid w:val="007E11B5"/>
    <w:rsid w:val="007F23DC"/>
    <w:rsid w:val="007F3321"/>
    <w:rsid w:val="008034CA"/>
    <w:rsid w:val="008154E8"/>
    <w:rsid w:val="00823BC5"/>
    <w:rsid w:val="00830AED"/>
    <w:rsid w:val="00833A3F"/>
    <w:rsid w:val="00833B67"/>
    <w:rsid w:val="00846214"/>
    <w:rsid w:val="008510C1"/>
    <w:rsid w:val="008623E4"/>
    <w:rsid w:val="00871482"/>
    <w:rsid w:val="008719CB"/>
    <w:rsid w:val="0087544B"/>
    <w:rsid w:val="00882CD2"/>
    <w:rsid w:val="00886CDE"/>
    <w:rsid w:val="00893729"/>
    <w:rsid w:val="008A23DB"/>
    <w:rsid w:val="008A2E45"/>
    <w:rsid w:val="008B049D"/>
    <w:rsid w:val="008B051A"/>
    <w:rsid w:val="008C5842"/>
    <w:rsid w:val="008D0DAF"/>
    <w:rsid w:val="008E51DB"/>
    <w:rsid w:val="008F2635"/>
    <w:rsid w:val="008F5260"/>
    <w:rsid w:val="008F668A"/>
    <w:rsid w:val="009008C7"/>
    <w:rsid w:val="00906825"/>
    <w:rsid w:val="00907C69"/>
    <w:rsid w:val="00917123"/>
    <w:rsid w:val="00930E51"/>
    <w:rsid w:val="009474EF"/>
    <w:rsid w:val="0095324E"/>
    <w:rsid w:val="009653AD"/>
    <w:rsid w:val="009703B2"/>
    <w:rsid w:val="009836C2"/>
    <w:rsid w:val="009B12E0"/>
    <w:rsid w:val="009E25C5"/>
    <w:rsid w:val="009E3630"/>
    <w:rsid w:val="009F3EF9"/>
    <w:rsid w:val="00A11C81"/>
    <w:rsid w:val="00A2165E"/>
    <w:rsid w:val="00A25C5A"/>
    <w:rsid w:val="00A37BC2"/>
    <w:rsid w:val="00A4009F"/>
    <w:rsid w:val="00A45A01"/>
    <w:rsid w:val="00A54581"/>
    <w:rsid w:val="00A60EE1"/>
    <w:rsid w:val="00A653D8"/>
    <w:rsid w:val="00A66F34"/>
    <w:rsid w:val="00A71F39"/>
    <w:rsid w:val="00A7232E"/>
    <w:rsid w:val="00A809C8"/>
    <w:rsid w:val="00A87119"/>
    <w:rsid w:val="00A91322"/>
    <w:rsid w:val="00AA6988"/>
    <w:rsid w:val="00AB6764"/>
    <w:rsid w:val="00AC0A25"/>
    <w:rsid w:val="00AC1D46"/>
    <w:rsid w:val="00AC3E77"/>
    <w:rsid w:val="00AE7CA0"/>
    <w:rsid w:val="00AF2798"/>
    <w:rsid w:val="00AF36F2"/>
    <w:rsid w:val="00AF7885"/>
    <w:rsid w:val="00B0465B"/>
    <w:rsid w:val="00B1375F"/>
    <w:rsid w:val="00B21EC8"/>
    <w:rsid w:val="00B50EFE"/>
    <w:rsid w:val="00B565AA"/>
    <w:rsid w:val="00B574CB"/>
    <w:rsid w:val="00B621E7"/>
    <w:rsid w:val="00B80898"/>
    <w:rsid w:val="00B83FD3"/>
    <w:rsid w:val="00B94CE0"/>
    <w:rsid w:val="00BA1666"/>
    <w:rsid w:val="00BA2C57"/>
    <w:rsid w:val="00BB1BD6"/>
    <w:rsid w:val="00BD0041"/>
    <w:rsid w:val="00BF6060"/>
    <w:rsid w:val="00C11AC1"/>
    <w:rsid w:val="00C12221"/>
    <w:rsid w:val="00C32D41"/>
    <w:rsid w:val="00C34E42"/>
    <w:rsid w:val="00C52236"/>
    <w:rsid w:val="00C86AE2"/>
    <w:rsid w:val="00C93092"/>
    <w:rsid w:val="00CA2D95"/>
    <w:rsid w:val="00CE13CC"/>
    <w:rsid w:val="00CF335A"/>
    <w:rsid w:val="00CF3EC3"/>
    <w:rsid w:val="00D16121"/>
    <w:rsid w:val="00D2686D"/>
    <w:rsid w:val="00D34AE4"/>
    <w:rsid w:val="00D56856"/>
    <w:rsid w:val="00D601F3"/>
    <w:rsid w:val="00D72CDA"/>
    <w:rsid w:val="00D76B3C"/>
    <w:rsid w:val="00D81C58"/>
    <w:rsid w:val="00D949F7"/>
    <w:rsid w:val="00D9781C"/>
    <w:rsid w:val="00DA381C"/>
    <w:rsid w:val="00DC1837"/>
    <w:rsid w:val="00E1313C"/>
    <w:rsid w:val="00E16BBF"/>
    <w:rsid w:val="00E208CF"/>
    <w:rsid w:val="00E4189D"/>
    <w:rsid w:val="00E46A46"/>
    <w:rsid w:val="00E62B0A"/>
    <w:rsid w:val="00E712DA"/>
    <w:rsid w:val="00E755A8"/>
    <w:rsid w:val="00E86EB8"/>
    <w:rsid w:val="00E95EF4"/>
    <w:rsid w:val="00E978CB"/>
    <w:rsid w:val="00EA2441"/>
    <w:rsid w:val="00EA6546"/>
    <w:rsid w:val="00EB4D55"/>
    <w:rsid w:val="00ED7A76"/>
    <w:rsid w:val="00EE6E45"/>
    <w:rsid w:val="00EF28C7"/>
    <w:rsid w:val="00EF46B9"/>
    <w:rsid w:val="00EF702F"/>
    <w:rsid w:val="00F17728"/>
    <w:rsid w:val="00F2413E"/>
    <w:rsid w:val="00F42F76"/>
    <w:rsid w:val="00F4657F"/>
    <w:rsid w:val="00F46B20"/>
    <w:rsid w:val="00F54DCB"/>
    <w:rsid w:val="00F56ACF"/>
    <w:rsid w:val="00F6257F"/>
    <w:rsid w:val="00F75DE6"/>
    <w:rsid w:val="00F80A58"/>
    <w:rsid w:val="00F87C0F"/>
    <w:rsid w:val="00F95054"/>
    <w:rsid w:val="00FA4D8E"/>
    <w:rsid w:val="00FD3914"/>
    <w:rsid w:val="00FD7D0D"/>
    <w:rsid w:val="00FE1CD2"/>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AA3CB4F-65AE-4D0D-9279-D56891EF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table" w:customStyle="1" w:styleId="TableGrid1">
    <w:name w:val="Table Grid1"/>
    <w:basedOn w:val="TableNormal"/>
    <w:next w:val="TableGrid"/>
    <w:uiPriority w:val="39"/>
    <w:rsid w:val="00580FAF"/>
    <w:pPr>
      <w:spacing w:after="0" w:line="240" w:lineRule="auto"/>
    </w:pPr>
    <w:rPr>
      <w:rFonts w:eastAsia="Times New Roman"/>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Note de bas de page Car Car Car Car Car Car Car Car Car Car Car,Note de bas de page Car Car Car,Note de bas de page Car Car Car Car Car Car Car Car,Note de bas de page3 Car,Note de bas de page3 Car Car,Footnote Text Char1,ft"/>
    <w:basedOn w:val="Normal"/>
    <w:link w:val="FootnoteTextChar"/>
    <w:semiHidden/>
    <w:unhideWhenUsed/>
    <w:rsid w:val="00580FAF"/>
    <w:pPr>
      <w:spacing w:after="0" w:line="240" w:lineRule="auto"/>
    </w:pPr>
    <w:rPr>
      <w:rFonts w:ascii="Calibri" w:eastAsia="Times New Roman" w:hAnsi="Calibri"/>
      <w:sz w:val="20"/>
      <w:szCs w:val="20"/>
      <w:lang w:val="nl-BE" w:eastAsia="fr-BE"/>
    </w:rPr>
  </w:style>
  <w:style w:type="character" w:customStyle="1" w:styleId="FootnoteTextChar">
    <w:name w:val="Footnote Text Char"/>
    <w:aliases w:val="Note de bas de page Car Car Car Car Car Car Car Car Car Car Car Char,Note de bas de page Car Car Car Char,Note de bas de page Car Car Car Car Car Car Car Car Char,Note de bas de page3 Car Char,Note de bas de page3 Car Car Char,ft Char"/>
    <w:basedOn w:val="DefaultParagraphFont"/>
    <w:link w:val="FootnoteText"/>
    <w:semiHidden/>
    <w:rsid w:val="00580FAF"/>
    <w:rPr>
      <w:rFonts w:ascii="Calibri" w:eastAsia="Times New Roman" w:hAnsi="Calibri"/>
      <w:sz w:val="20"/>
      <w:szCs w:val="20"/>
      <w:lang w:val="nl-BE" w:eastAsia="fr-BE"/>
    </w:rPr>
  </w:style>
  <w:style w:type="character" w:styleId="FootnoteReference">
    <w:name w:val="footnote reference"/>
    <w:aliases w:val="fr"/>
    <w:basedOn w:val="DefaultParagraphFont"/>
    <w:semiHidden/>
    <w:unhideWhenUsed/>
    <w:rsid w:val="00580FAF"/>
    <w:rPr>
      <w:vertAlign w:val="superscript"/>
    </w:rPr>
  </w:style>
  <w:style w:type="table" w:customStyle="1" w:styleId="TableGridLight1">
    <w:name w:val="Table Grid Light1"/>
    <w:basedOn w:val="TableNormal"/>
    <w:next w:val="TableGridLight"/>
    <w:uiPriority w:val="40"/>
    <w:rsid w:val="00580FAF"/>
    <w:pPr>
      <w:spacing w:after="0" w:line="240" w:lineRule="auto"/>
    </w:pPr>
    <w:rPr>
      <w:rFonts w:eastAsia="Times New Roman"/>
      <w:lang w:val="en-US"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580F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rsid w:val="00EA2441"/>
    <w:pPr>
      <w:ind w:left="720"/>
      <w:contextualSpacing/>
    </w:pPr>
  </w:style>
  <w:style w:type="paragraph" w:styleId="NormalWeb">
    <w:name w:val="Normal (Web)"/>
    <w:basedOn w:val="Normal"/>
    <w:uiPriority w:val="99"/>
    <w:unhideWhenUsed/>
    <w:rsid w:val="00EF28C7"/>
    <w:pPr>
      <w:spacing w:before="150" w:after="0" w:line="240" w:lineRule="auto"/>
    </w:pPr>
    <w:rPr>
      <w:rFonts w:ascii="Times New Roman" w:hAnsi="Times New Roman" w:cs="Times New Roman"/>
      <w:sz w:val="24"/>
      <w:szCs w:val="24"/>
      <w:lang w:val="fr-BE" w:eastAsia="fr-BE"/>
    </w:rPr>
  </w:style>
  <w:style w:type="paragraph" w:styleId="Revision">
    <w:name w:val="Revision"/>
    <w:hidden/>
    <w:uiPriority w:val="99"/>
    <w:semiHidden/>
    <w:rsid w:val="007E11B5"/>
    <w:pPr>
      <w:spacing w:after="0" w:line="240" w:lineRule="auto"/>
    </w:pPr>
    <w:rPr>
      <w:lang w:val="en-GB"/>
    </w:rPr>
  </w:style>
  <w:style w:type="paragraph" w:customStyle="1" w:styleId="CM1">
    <w:name w:val="CM1"/>
    <w:basedOn w:val="Normal"/>
    <w:next w:val="Normal"/>
    <w:uiPriority w:val="99"/>
    <w:rsid w:val="00280E10"/>
    <w:pPr>
      <w:autoSpaceDE w:val="0"/>
      <w:autoSpaceDN w:val="0"/>
      <w:adjustRightInd w:val="0"/>
      <w:spacing w:after="0" w:line="240" w:lineRule="auto"/>
    </w:pPr>
    <w:rPr>
      <w:rFonts w:ascii="EUAlbertina" w:hAnsi="EUAlbertina"/>
      <w:sz w:val="24"/>
      <w:szCs w:val="24"/>
      <w:lang w:val="fr-BE"/>
    </w:rPr>
  </w:style>
  <w:style w:type="paragraph" w:customStyle="1" w:styleId="CM3">
    <w:name w:val="CM3"/>
    <w:basedOn w:val="Normal"/>
    <w:next w:val="Normal"/>
    <w:uiPriority w:val="99"/>
    <w:rsid w:val="00280E10"/>
    <w:pPr>
      <w:autoSpaceDE w:val="0"/>
      <w:autoSpaceDN w:val="0"/>
      <w:adjustRightInd w:val="0"/>
      <w:spacing w:after="0" w:line="240" w:lineRule="auto"/>
    </w:pPr>
    <w:rPr>
      <w:rFonts w:ascii="EUAlbertina" w:hAnsi="EUAlbertina"/>
      <w:sz w:val="24"/>
      <w:szCs w:val="24"/>
      <w:lang w:val="fr-BE"/>
    </w:rPr>
  </w:style>
  <w:style w:type="character" w:customStyle="1" w:styleId="summary">
    <w:name w:val="summary"/>
    <w:basedOn w:val="DefaultParagraphFont"/>
    <w:uiPriority w:val="1"/>
    <w:rsid w:val="00A809C8"/>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06164">
      <w:bodyDiv w:val="1"/>
      <w:marLeft w:val="0"/>
      <w:marRight w:val="0"/>
      <w:marTop w:val="0"/>
      <w:marBottom w:val="0"/>
      <w:divBdr>
        <w:top w:val="none" w:sz="0" w:space="0" w:color="auto"/>
        <w:left w:val="none" w:sz="0" w:space="0" w:color="auto"/>
        <w:bottom w:val="none" w:sz="0" w:space="0" w:color="auto"/>
        <w:right w:val="none" w:sz="0" w:space="0" w:color="auto"/>
      </w:divBdr>
    </w:div>
    <w:div w:id="1161503840">
      <w:bodyDiv w:val="1"/>
      <w:marLeft w:val="0"/>
      <w:marRight w:val="0"/>
      <w:marTop w:val="0"/>
      <w:marBottom w:val="0"/>
      <w:divBdr>
        <w:top w:val="none" w:sz="0" w:space="0" w:color="auto"/>
        <w:left w:val="none" w:sz="0" w:space="0" w:color="auto"/>
        <w:bottom w:val="none" w:sz="0" w:space="0" w:color="auto"/>
        <w:right w:val="none" w:sz="0" w:space="0" w:color="auto"/>
      </w:divBdr>
    </w:div>
    <w:div w:id="1644699556">
      <w:bodyDiv w:val="1"/>
      <w:marLeft w:val="0"/>
      <w:marRight w:val="0"/>
      <w:marTop w:val="0"/>
      <w:marBottom w:val="0"/>
      <w:divBdr>
        <w:top w:val="none" w:sz="0" w:space="0" w:color="auto"/>
        <w:left w:val="none" w:sz="0" w:space="0" w:color="auto"/>
        <w:bottom w:val="none" w:sz="0" w:space="0" w:color="auto"/>
        <w:right w:val="none" w:sz="0" w:space="0" w:color="auto"/>
      </w:divBdr>
    </w:div>
    <w:div w:id="20765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otification.passporting2@fsma.b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A5DAAE1DCE404195FED1B953C7CB65"/>
        <w:category>
          <w:name w:val="General"/>
          <w:gallery w:val="placeholder"/>
        </w:category>
        <w:types>
          <w:type w:val="bbPlcHdr"/>
        </w:types>
        <w:behaviors>
          <w:behavior w:val="content"/>
        </w:behaviors>
        <w:guid w:val="{7751D878-4D8E-497B-8DF0-54EE3D1110BD}"/>
      </w:docPartPr>
      <w:docPartBody>
        <w:p w:rsidR="00AD0151" w:rsidRDefault="00D36A1E" w:rsidP="00D36A1E">
          <w:pPr>
            <w:pStyle w:val="4BA5DAAE1DCE404195FED1B953C7CB651"/>
          </w:pPr>
          <w:r w:rsidRPr="005A01D5">
            <w:rPr>
              <w:rStyle w:val="PlaceholderText"/>
              <w:rFonts w:ascii="Arial" w:hAnsi="Arial" w:cs="Arial"/>
              <w:szCs w:val="20"/>
            </w:rPr>
            <w:t>Click here to enter the reference.</w:t>
          </w:r>
        </w:p>
      </w:docPartBody>
    </w:docPart>
    <w:docPart>
      <w:docPartPr>
        <w:name w:val="46CC4652E0064AF28DC62E6E33876879"/>
        <w:category>
          <w:name w:val="General"/>
          <w:gallery w:val="placeholder"/>
        </w:category>
        <w:types>
          <w:type w:val="bbPlcHdr"/>
        </w:types>
        <w:behaviors>
          <w:behavior w:val="content"/>
        </w:behaviors>
        <w:guid w:val="{4E4D449F-EAE5-4969-A649-E5D37B01A7B1}"/>
      </w:docPartPr>
      <w:docPartBody>
        <w:p w:rsidR="00AD0151" w:rsidRDefault="00D36A1E" w:rsidP="00D36A1E">
          <w:pPr>
            <w:pStyle w:val="46CC4652E0064AF28DC62E6E338768791"/>
          </w:pPr>
          <w:r w:rsidRPr="0043614D">
            <w:rPr>
              <w:rStyle w:val="PlaceholderText"/>
            </w:rPr>
            <w:t>Click here to enter a date.</w:t>
          </w:r>
        </w:p>
      </w:docPartBody>
    </w:docPart>
    <w:docPart>
      <w:docPartPr>
        <w:name w:val="68058C2CFC6449B38EB170B3EDAD4A67"/>
        <w:category>
          <w:name w:val="General"/>
          <w:gallery w:val="placeholder"/>
        </w:category>
        <w:types>
          <w:type w:val="bbPlcHdr"/>
        </w:types>
        <w:behaviors>
          <w:behavior w:val="content"/>
        </w:behaviors>
        <w:guid w:val="{0D2F3433-C0BB-484D-BCBD-8502F8BAEA04}"/>
      </w:docPartPr>
      <w:docPartBody>
        <w:p w:rsidR="00AD0151" w:rsidRDefault="00BE024B">
          <w:pPr>
            <w:pStyle w:val="68058C2CFC6449B38EB170B3EDAD4A67"/>
          </w:pPr>
          <w:r w:rsidRPr="005A01D5">
            <w:rPr>
              <w:rStyle w:val="PlaceholderText"/>
              <w:szCs w:val="20"/>
            </w:rPr>
            <w:t>Click here to enter the application field.</w:t>
          </w:r>
        </w:p>
      </w:docPartBody>
    </w:docPart>
    <w:docPart>
      <w:docPartPr>
        <w:name w:val="7E31B097B2BC4601B81B3CA7F1F2A018"/>
        <w:category>
          <w:name w:val="General"/>
          <w:gallery w:val="placeholder"/>
        </w:category>
        <w:types>
          <w:type w:val="bbPlcHdr"/>
        </w:types>
        <w:behaviors>
          <w:behavior w:val="content"/>
        </w:behaviors>
        <w:guid w:val="{05B485BE-802F-44AC-BFDF-3048FE80245E}"/>
      </w:docPartPr>
      <w:docPartBody>
        <w:p w:rsidR="00AD0151" w:rsidRDefault="00BE024B">
          <w:pPr>
            <w:pStyle w:val="7E31B097B2BC4601B81B3CA7F1F2A018"/>
          </w:pPr>
          <w:r w:rsidRPr="00A11C81">
            <w:rPr>
              <w:rStyle w:val="PlaceholderText"/>
              <w:rFonts w:ascii="Gotham Rounded Bold" w:hAnsi="Gotham Rounded Bold" w:cs="Arial"/>
              <w:sz w:val="32"/>
              <w:szCs w:val="32"/>
            </w:rPr>
            <w:t>Choose a type.</w:t>
          </w:r>
        </w:p>
      </w:docPartBody>
    </w:docPart>
    <w:docPart>
      <w:docPartPr>
        <w:name w:val="420881E410CF4042881333A79219663D"/>
        <w:category>
          <w:name w:val="General"/>
          <w:gallery w:val="placeholder"/>
        </w:category>
        <w:types>
          <w:type w:val="bbPlcHdr"/>
        </w:types>
        <w:behaviors>
          <w:behavior w:val="content"/>
        </w:behaviors>
        <w:guid w:val="{D5B12D7B-A930-44EF-83F6-D7D7A962E17E}"/>
      </w:docPartPr>
      <w:docPartBody>
        <w:p w:rsidR="00D57B70" w:rsidRDefault="00D36A1E" w:rsidP="00D36A1E">
          <w:pPr>
            <w:pStyle w:val="420881E410CF4042881333A79219663D"/>
          </w:pPr>
          <w:r w:rsidRPr="009653AD">
            <w:rPr>
              <w:sz w:val="14"/>
              <w:szCs w:val="14"/>
              <w:lang w:val="af-ZA"/>
            </w:rPr>
            <w:t>[Subject]</w:t>
          </w:r>
        </w:p>
      </w:docPartBody>
    </w:docPart>
    <w:docPart>
      <w:docPartPr>
        <w:name w:val="D4F23F69EB5A41A2915C24729253038C"/>
        <w:category>
          <w:name w:val="General"/>
          <w:gallery w:val="placeholder"/>
        </w:category>
        <w:types>
          <w:type w:val="bbPlcHdr"/>
        </w:types>
        <w:behaviors>
          <w:behavior w:val="content"/>
        </w:behaviors>
        <w:guid w:val="{364AD163-6244-4DA4-A8C0-6ADDF134EBFF}"/>
      </w:docPartPr>
      <w:docPartBody>
        <w:p w:rsidR="00D57B70" w:rsidRDefault="00D36A1E" w:rsidP="00D36A1E">
          <w:pPr>
            <w:pStyle w:val="D4F23F69EB5A41A2915C24729253038C"/>
          </w:pPr>
          <w:r w:rsidRPr="00394B87">
            <w:rPr>
              <w:rStyle w:val="PlaceholderText"/>
              <w:sz w:val="14"/>
              <w:szCs w:val="14"/>
            </w:rPr>
            <w:t>date</w:t>
          </w:r>
        </w:p>
      </w:docPartBody>
    </w:docPart>
    <w:docPart>
      <w:docPartPr>
        <w:name w:val="DC6512F5DECB4E67B3F7FCC36D3FD1C1"/>
        <w:category>
          <w:name w:val="General"/>
          <w:gallery w:val="placeholder"/>
        </w:category>
        <w:types>
          <w:type w:val="bbPlcHdr"/>
        </w:types>
        <w:behaviors>
          <w:behavior w:val="content"/>
        </w:behaviors>
        <w:guid w:val="{A2C4FED3-D4B2-431A-B1A4-CB48205F8B67}"/>
      </w:docPartPr>
      <w:docPartBody>
        <w:p w:rsidR="00D57B70" w:rsidRDefault="00D36A1E" w:rsidP="00D36A1E">
          <w:pPr>
            <w:pStyle w:val="DC6512F5DECB4E67B3F7FCC36D3FD1C1"/>
          </w:pPr>
          <w:r w:rsidRPr="009653AD">
            <w:rPr>
              <w:sz w:val="14"/>
              <w:szCs w:val="14"/>
              <w:lang w:val="af-ZA"/>
            </w:rPr>
            <w:t>[Subject]</w:t>
          </w:r>
        </w:p>
      </w:docPartBody>
    </w:docPart>
    <w:docPart>
      <w:docPartPr>
        <w:name w:val="E0CAE92CB1CF40A5BE14435AED2CABF7"/>
        <w:category>
          <w:name w:val="General"/>
          <w:gallery w:val="placeholder"/>
        </w:category>
        <w:types>
          <w:type w:val="bbPlcHdr"/>
        </w:types>
        <w:behaviors>
          <w:behavior w:val="content"/>
        </w:behaviors>
        <w:guid w:val="{5199CBF6-7027-4F94-BFEE-06FF7D6E0C41}"/>
      </w:docPartPr>
      <w:docPartBody>
        <w:p w:rsidR="00D57B70" w:rsidRDefault="00D36A1E" w:rsidP="00D36A1E">
          <w:pPr>
            <w:pStyle w:val="E0CAE92CB1CF40A5BE14435AED2CABF7"/>
          </w:pPr>
          <w:r w:rsidRPr="00394B87">
            <w:rPr>
              <w:rStyle w:val="PlaceholderText"/>
              <w:sz w:val="14"/>
              <w:szCs w:val="14"/>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4B"/>
    <w:rsid w:val="003805B0"/>
    <w:rsid w:val="005774D9"/>
    <w:rsid w:val="005C0945"/>
    <w:rsid w:val="006F4B2F"/>
    <w:rsid w:val="0073581B"/>
    <w:rsid w:val="008F652A"/>
    <w:rsid w:val="00A43E2B"/>
    <w:rsid w:val="00AD0151"/>
    <w:rsid w:val="00BE024B"/>
    <w:rsid w:val="00D36A1E"/>
    <w:rsid w:val="00D57B70"/>
  </w:rsids>
  <m:mathPr>
    <m:mathFont m:val="Cambria Math"/>
    <m:brkBin m:val="before"/>
    <m:brkBinSub m:val="--"/>
    <m:smallFrac m:val="0"/>
    <m:dispDef/>
    <m:lMargin m:val="0"/>
    <m:rMargin m:val="0"/>
    <m:defJc m:val="centerGroup"/>
    <m:wrapIndent m:val="1440"/>
    <m:intLim m:val="subSup"/>
    <m:naryLim m:val="undOvr"/>
  </m:mathPr>
  <w:themeFontLang w:val="fr-BE"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A1E"/>
    <w:rPr>
      <w:color w:val="808080"/>
    </w:rPr>
  </w:style>
  <w:style w:type="paragraph" w:customStyle="1" w:styleId="4BA5DAAE1DCE404195FED1B953C7CB65">
    <w:name w:val="4BA5DAAE1DCE404195FED1B953C7CB65"/>
  </w:style>
  <w:style w:type="paragraph" w:customStyle="1" w:styleId="46CC4652E0064AF28DC62E6E33876879">
    <w:name w:val="46CC4652E0064AF28DC62E6E33876879"/>
  </w:style>
  <w:style w:type="paragraph" w:customStyle="1" w:styleId="D8B0AFEF39DE458B96FB0732E969CB18">
    <w:name w:val="D8B0AFEF39DE458B96FB0732E969CB18"/>
  </w:style>
  <w:style w:type="paragraph" w:customStyle="1" w:styleId="68058C2CFC6449B38EB170B3EDAD4A67">
    <w:name w:val="68058C2CFC6449B38EB170B3EDAD4A67"/>
  </w:style>
  <w:style w:type="paragraph" w:customStyle="1" w:styleId="7E31B097B2BC4601B81B3CA7F1F2A018">
    <w:name w:val="7E31B097B2BC4601B81B3CA7F1F2A018"/>
  </w:style>
  <w:style w:type="paragraph" w:customStyle="1" w:styleId="4BA5DAAE1DCE404195FED1B953C7CB651">
    <w:name w:val="4BA5DAAE1DCE404195FED1B953C7CB651"/>
    <w:rsid w:val="00D36A1E"/>
    <w:pPr>
      <w:spacing w:after="260" w:line="260" w:lineRule="atLeast"/>
    </w:pPr>
    <w:rPr>
      <w:rFonts w:eastAsiaTheme="minorHAnsi"/>
      <w:lang w:val="en-GB" w:eastAsia="en-US"/>
    </w:rPr>
  </w:style>
  <w:style w:type="paragraph" w:customStyle="1" w:styleId="46CC4652E0064AF28DC62E6E338768791">
    <w:name w:val="46CC4652E0064AF28DC62E6E338768791"/>
    <w:rsid w:val="00D36A1E"/>
    <w:pPr>
      <w:spacing w:after="260" w:line="260" w:lineRule="atLeast"/>
    </w:pPr>
    <w:rPr>
      <w:rFonts w:eastAsiaTheme="minorHAnsi"/>
      <w:lang w:val="en-GB" w:eastAsia="en-US"/>
    </w:rPr>
  </w:style>
  <w:style w:type="paragraph" w:customStyle="1" w:styleId="420881E410CF4042881333A79219663D">
    <w:name w:val="420881E410CF4042881333A79219663D"/>
    <w:rsid w:val="00D36A1E"/>
    <w:pPr>
      <w:tabs>
        <w:tab w:val="center" w:pos="4513"/>
        <w:tab w:val="right" w:pos="9026"/>
      </w:tabs>
      <w:spacing w:after="0" w:line="240" w:lineRule="auto"/>
    </w:pPr>
    <w:rPr>
      <w:rFonts w:eastAsiaTheme="minorHAnsi"/>
      <w:lang w:val="en-GB" w:eastAsia="en-US"/>
    </w:rPr>
  </w:style>
  <w:style w:type="paragraph" w:customStyle="1" w:styleId="D4F23F69EB5A41A2915C24729253038C">
    <w:name w:val="D4F23F69EB5A41A2915C24729253038C"/>
    <w:rsid w:val="00D36A1E"/>
    <w:pPr>
      <w:tabs>
        <w:tab w:val="center" w:pos="4513"/>
        <w:tab w:val="right" w:pos="9026"/>
      </w:tabs>
      <w:spacing w:after="0" w:line="240" w:lineRule="auto"/>
    </w:pPr>
    <w:rPr>
      <w:rFonts w:eastAsiaTheme="minorHAnsi"/>
      <w:lang w:val="en-GB" w:eastAsia="en-US"/>
    </w:rPr>
  </w:style>
  <w:style w:type="paragraph" w:customStyle="1" w:styleId="DC6512F5DECB4E67B3F7FCC36D3FD1C1">
    <w:name w:val="DC6512F5DECB4E67B3F7FCC36D3FD1C1"/>
    <w:rsid w:val="00D36A1E"/>
    <w:pPr>
      <w:tabs>
        <w:tab w:val="center" w:pos="4513"/>
        <w:tab w:val="right" w:pos="9026"/>
      </w:tabs>
      <w:spacing w:after="0" w:line="240" w:lineRule="auto"/>
    </w:pPr>
    <w:rPr>
      <w:rFonts w:eastAsiaTheme="minorHAnsi"/>
      <w:lang w:val="en-GB" w:eastAsia="en-US"/>
    </w:rPr>
  </w:style>
  <w:style w:type="paragraph" w:customStyle="1" w:styleId="E0CAE92CB1CF40A5BE14435AED2CABF7">
    <w:name w:val="E0CAE92CB1CF40A5BE14435AED2CABF7"/>
    <w:rsid w:val="00D36A1E"/>
    <w:pPr>
      <w:tabs>
        <w:tab w:val="center" w:pos="4513"/>
        <w:tab w:val="right" w:pos="9026"/>
      </w:tabs>
      <w:spacing w:after="0" w:line="240" w:lineRule="auto"/>
    </w:pPr>
    <w:rPr>
      <w:rFonts w:eastAsiaTheme="minorHAnsi"/>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f7864904-ccf9-4f6b-85eb-79679796624a">
      <Value>N/A</Value>
    </Statu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764AD3FD2DCD48A0574E44D8EDB8E3" ma:contentTypeVersion="23" ma:contentTypeDescription="Create a new document." ma:contentTypeScope="" ma:versionID="50b60efddeb8f4c0050ced5d4d23cbe6">
  <xsd:schema xmlns:xsd="http://www.w3.org/2001/XMLSchema" xmlns:xs="http://www.w3.org/2001/XMLSchema" xmlns:p="http://schemas.microsoft.com/office/2006/metadata/properties" xmlns:ns2="f7864904-ccf9-4f6b-85eb-79679796624a" targetNamespace="http://schemas.microsoft.com/office/2006/metadata/properties" ma:root="true" ma:fieldsID="c748fb0d8870509a79d5bf5f6f206f96" ns2:_="">
    <xsd:import namespace="f7864904-ccf9-4f6b-85eb-79679796624a"/>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64904-ccf9-4f6b-85eb-79679796624a" elementFormDefault="qualified">
    <xsd:import namespace="http://schemas.microsoft.com/office/2006/documentManagement/types"/>
    <xsd:import namespace="http://schemas.microsoft.com/office/infopath/2007/PartnerControls"/>
    <xsd:element name="Statute" ma:index="8" nillable="true" ma:displayName="CompanyName" ma:internalName="Statute" ma:readOnly="fals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A9063-2192-4D21-82EC-E220C31E16E0}">
  <ds:schemaRefs>
    <ds:schemaRef ds:uri="http://schemas.microsoft.com/sharepoint/v3/contenttype/forms"/>
  </ds:schemaRefs>
</ds:datastoreItem>
</file>

<file path=customXml/itemProps2.xml><?xml version="1.0" encoding="utf-8"?>
<ds:datastoreItem xmlns:ds="http://schemas.openxmlformats.org/officeDocument/2006/customXml" ds:itemID="{F1818DC1-429B-4A6B-A5DE-8ECCB5A3773A}">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f7864904-ccf9-4f6b-85eb-79679796624a"/>
    <ds:schemaRef ds:uri="http://www.w3.org/XML/1998/namespace"/>
    <ds:schemaRef ds:uri="http://purl.org/dc/terms/"/>
  </ds:schemaRefs>
</ds:datastoreItem>
</file>

<file path=customXml/itemProps3.xml><?xml version="1.0" encoding="utf-8"?>
<ds:datastoreItem xmlns:ds="http://schemas.openxmlformats.org/officeDocument/2006/customXml" ds:itemID="{8EC64A60-3577-4625-998D-6E87C12DF8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64904-ccf9-4f6b-85eb-7967979662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BC3126-73D0-4A97-9882-8EA36604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Template>
  <TotalTime>358</TotalTime>
  <Pages>14</Pages>
  <Words>4666</Words>
  <Characters>25668</Characters>
  <Application>Microsoft Office Word</Application>
  <DocSecurity>0</DocSecurity>
  <Lines>213</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Alternative Investment FundsNotification of marketing of AIFs managed by non-EEA AIFMsto professional investors in BelgiumArt. 42 AIFMD</vt:lpstr>
      <vt:lpstr/>
    </vt:vector>
  </TitlesOfParts>
  <Company/>
  <LinksUpToDate>false</LinksUpToDate>
  <CharactersWithSpaces>30274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Alternative Investment FundsNotification of marketing of AIFs managed by non-EEA AIFMsto professional investors in BelgiumArt. 42 AIFMD</dc:title>
  <dc:subject>FSMA_2017_06</dc:subject>
  <dc:creator>Rutten</dc:creator>
  <cp:keywords>This Communication is addressed to:
- alternative investment fund managers established in the European Economic Area (‘EEA’) who intend to market, 
  to professional investors in Belgium, units or shares of non-EEA AIFs which they manage, including non-EEA 
  feeder AIFs; and to
- alternative investment fund managers not established in the European Economic Area who intend to market, to 
  professional investors in Belgium, units or shares in AIFs which they manage.</cp:keywords>
  <dc:description/>
  <cp:lastModifiedBy>Van Laere, Elien</cp:lastModifiedBy>
  <cp:revision>32</cp:revision>
  <cp:lastPrinted>2021-03-26T09:42:00Z</cp:lastPrinted>
  <dcterms:created xsi:type="dcterms:W3CDTF">2018-03-22T14:50:00Z</dcterms:created>
  <dcterms:modified xsi:type="dcterms:W3CDTF">2021-03-26T09:42:00Z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0x01010003764AD3FD2DCD48A0574E44D8EDB8E3</vt:lpwstr>
  </property>
  <property fmtid="{D5CDD505-2E9C-101B-9397-08002B2CF9AE}" pid="3" name="FSMAKeywords">
    <vt:lpwstr/>
  </property>
  <property fmtid="{D5CDD505-2E9C-101B-9397-08002B2CF9AE}" pid="4" name="FSMALanguage">
    <vt:lpwstr/>
  </property>
  <property fmtid="{D5CDD505-2E9C-101B-9397-08002B2CF9AE}" pid="5" name="FSMADocumentStatus">
    <vt:lpwstr>1;#Final|7d7850c6-150d-4cd3-9e58-5c4a2226475a</vt:lpwstr>
  </property>
  <property fmtid="{D5CDD505-2E9C-101B-9397-08002B2CF9AE}" pid="6" name="Importance">
    <vt:lpwstr/>
  </property>
  <property fmtid="{D5CDD505-2E9C-101B-9397-08002B2CF9AE}" pid="7" name="TaxCatchAll">
    <vt:lpwstr>1;#Final|7d7850c6-150d-4cd3-9e58-5c4a2226475a</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ies>
</file>