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A54" w:rsidRDefault="00424A54" w:rsidP="00424A54">
      <w:pPr>
        <w:pBdr>
          <w:bottom w:val="single" w:sz="2" w:space="31" w:color="auto"/>
        </w:pBdr>
      </w:pPr>
    </w:p>
    <w:p w:rsidR="00F9037B" w:rsidRDefault="00F9037B" w:rsidP="00335DAD">
      <w:pPr>
        <w:pBdr>
          <w:bottom w:val="single" w:sz="2" w:space="31" w:color="auto"/>
        </w:pBdr>
        <w:tabs>
          <w:tab w:val="left" w:pos="4290"/>
          <w:tab w:val="center" w:pos="5102"/>
        </w:tabs>
      </w:pPr>
    </w:p>
    <w:p w:rsidR="00F9037B" w:rsidRDefault="005A6570" w:rsidP="00335DAD">
      <w:pPr>
        <w:pBdr>
          <w:bottom w:val="single" w:sz="2" w:space="31" w:color="auto"/>
        </w:pBdr>
        <w:tabs>
          <w:tab w:val="left" w:pos="4290"/>
          <w:tab w:val="center" w:pos="5102"/>
        </w:tabs>
      </w:pPr>
      <w:r>
        <w:rPr>
          <w:noProof/>
          <w:lang w:val="fr-BE" w:eastAsia="fr-BE"/>
        </w:rPr>
        <mc:AlternateContent>
          <mc:Choice Requires="wps">
            <w:drawing>
              <wp:anchor distT="0" distB="0" distL="114300" distR="114300" simplePos="0" relativeHeight="251657728" behindDoc="0" locked="0" layoutInCell="1" allowOverlap="1" wp14:anchorId="1D41F4F6" wp14:editId="1D41F4F7">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864" w:rsidRPr="00F54DCB" w:rsidRDefault="00802864"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dataBinding w:xpath="/ns1:coreProperties[1]/ns1:category[1]" w:storeItemID="{6C3C8BC8-F283-45AE-878A-BAB7291924A1}"/>
                                <w:dropDownList w:lastValue="Communication">
                                  <w:listItem w:value="Choose an item."/>
                                  <w:listItem w:displayText="Circular" w:value="Circular"/>
                                  <w:listItem w:displayText="Communication" w:value="Communication"/>
                                  <w:listItem w:displayText="Handbook" w:value="Handbook"/>
                                </w:dropDownList>
                              </w:sdtPr>
                              <w:sdtEndPr/>
                              <w:sdtContent>
                                <w:r>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1F4F6" id="_x0000_t202" coordsize="21600,21600" o:spt="202" path="m,l,21600r21600,l21600,xe">
                <v:stroke joinstyle="miter"/>
                <v:path gradientshapeok="t" o:connecttype="rect"/>
              </v:shapetype>
              <v:shape id="Text Box 8" o:spid="_x0000_s1026" type="#_x0000_t202" style="position:absolute;margin-left:248pt;margin-top:56.7pt;width:290pt;height:34.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rsidR="00802864" w:rsidRPr="00F54DCB" w:rsidRDefault="00802864"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dataBinding w:xpath="/ns1:coreProperties[1]/ns1:category[1]" w:storeItemID="{6C3C8BC8-F283-45AE-878A-BAB7291924A1}"/>
                          <w:dropDownList w:lastValue="Communication">
                            <w:listItem w:value="Choose an item."/>
                            <w:listItem w:displayText="Circular" w:value="Circular"/>
                            <w:listItem w:displayText="Communication" w:value="Communication"/>
                            <w:listItem w:displayText="Handbook" w:value="Handbook"/>
                          </w:dropDownList>
                        </w:sdtPr>
                        <w:sdtEndPr/>
                        <w:sdtContent>
                          <w:r>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rsidR="009653AD" w:rsidRPr="005A01D5" w:rsidRDefault="00190C68" w:rsidP="006C79D9">
      <w:pPr>
        <w:jc w:val="center"/>
        <w:rPr>
          <w:b/>
        </w:rPr>
      </w:pPr>
      <w:sdt>
        <w:sdtPr>
          <w:rPr>
            <w:b/>
          </w:rPr>
          <w:alias w:val="Reference"/>
          <w:tag w:val="ccDocReference"/>
          <w:id w:val="22863940"/>
          <w:placeholder>
            <w:docPart w:val="77938BFCDA364612A7DAA51C89273322"/>
          </w:placeholder>
          <w:dataBinding w:xpath="/ns1:coreProperties[1]/ns0:subject[1]" w:storeItemID="{6C3C8BC8-F283-45AE-878A-BAB7291924A1}"/>
          <w:text/>
        </w:sdtPr>
        <w:sdtEndPr/>
        <w:sdtContent>
          <w:r w:rsidR="00410C1E">
            <w:rPr>
              <w:b/>
            </w:rPr>
            <w:t>FSMA_2017_05</w:t>
          </w:r>
          <w:r w:rsidR="00D00875">
            <w:rPr>
              <w:b/>
            </w:rPr>
            <w:t>-01</w:t>
          </w:r>
        </w:sdtContent>
      </w:sdt>
      <w:r w:rsidR="00410C1E">
        <w:rPr>
          <w:b/>
        </w:rPr>
        <w:t xml:space="preserve"> </w:t>
      </w:r>
      <w:r w:rsidR="00871482" w:rsidRPr="005A01D5">
        <w:rPr>
          <w:b/>
        </w:rPr>
        <w:t>of</w:t>
      </w:r>
      <w:r w:rsidR="009653AD" w:rsidRPr="005A01D5">
        <w:rPr>
          <w:b/>
        </w:rPr>
        <w:t xml:space="preserve"> </w:t>
      </w:r>
      <w:sdt>
        <w:sdtPr>
          <w:rPr>
            <w:b/>
            <w:lang w:val="en-US"/>
          </w:rPr>
          <w:id w:val="7137523"/>
          <w:placeholder>
            <w:docPart w:val="9971DEFD4ED74FBF9B608F6ED046862A"/>
          </w:placeholder>
          <w:date w:fullDate="2017-02-24T00:00:00Z">
            <w:dateFormat w:val="d/MM/yyyy"/>
            <w:lid w:val="nl-BE"/>
            <w:storeMappedDataAs w:val="dateTime"/>
            <w:calendar w:val="gregorian"/>
          </w:date>
        </w:sdtPr>
        <w:sdtEndPr/>
        <w:sdtContent>
          <w:r w:rsidR="00410C1E" w:rsidRPr="00D00875">
            <w:rPr>
              <w:b/>
              <w:lang w:val="en-US"/>
            </w:rPr>
            <w:t>24/02/2017</w:t>
          </w:r>
        </w:sdtContent>
      </w:sdt>
    </w:p>
    <w:p w:rsidR="00335DAD" w:rsidRPr="005A01D5" w:rsidRDefault="00335DAD" w:rsidP="00F9037B">
      <w:pPr>
        <w:spacing w:after="120" w:line="240" w:lineRule="auto"/>
        <w:jc w:val="center"/>
      </w:pPr>
      <w:r w:rsidRPr="00335DAD">
        <w:rPr>
          <w:rFonts w:ascii="Gotham Rounded Bold" w:eastAsia="Times New Roman" w:hAnsi="Gotham Rounded Bold" w:cs="Times New Roman"/>
          <w:color w:val="668899"/>
          <w:sz w:val="32"/>
          <w:szCs w:val="32"/>
          <w:lang w:eastAsia="fr-BE"/>
        </w:rPr>
        <w:t>Alternative Investment Funds</w:t>
      </w:r>
      <w:r w:rsidRPr="00335DAD">
        <w:rPr>
          <w:rFonts w:ascii="Gotham Rounded Bold" w:eastAsia="Times New Roman" w:hAnsi="Gotham Rounded Bold" w:cs="Times New Roman"/>
          <w:color w:val="668899"/>
          <w:sz w:val="32"/>
          <w:szCs w:val="32"/>
          <w:lang w:eastAsia="fr-BE"/>
        </w:rPr>
        <w:br/>
      </w:r>
      <w:r w:rsidRPr="00335DAD">
        <w:rPr>
          <w:rFonts w:ascii="Gotham Rounded Bold" w:eastAsia="Times New Roman" w:hAnsi="Gotham Rounded Bold" w:cs="Times New Roman"/>
          <w:color w:val="668899"/>
          <w:sz w:val="24"/>
          <w:szCs w:val="32"/>
          <w:lang w:eastAsia="fr-BE"/>
        </w:rPr>
        <w:t>Notification of marketing of EEA AIFs managed by Belgian AIFMs</w:t>
      </w:r>
      <w:r w:rsidRPr="00335DAD">
        <w:rPr>
          <w:rFonts w:ascii="Gotham Rounded Bold" w:eastAsia="Times New Roman" w:hAnsi="Gotham Rounded Bold" w:cs="Times New Roman"/>
          <w:color w:val="668899"/>
          <w:sz w:val="24"/>
          <w:szCs w:val="32"/>
          <w:lang w:eastAsia="fr-BE"/>
        </w:rPr>
        <w:br/>
        <w:t>to professional investors in other EEA Member States</w:t>
      </w:r>
      <w:r>
        <w:rPr>
          <w:rFonts w:ascii="Gotham Rounded Bold" w:eastAsia="Times New Roman" w:hAnsi="Gotham Rounded Bold" w:cs="Times New Roman"/>
          <w:color w:val="668899"/>
          <w:sz w:val="24"/>
          <w:szCs w:val="32"/>
          <w:lang w:eastAsia="fr-BE"/>
        </w:rPr>
        <w:t xml:space="preserve"> </w:t>
      </w:r>
      <w:r>
        <w:rPr>
          <w:rFonts w:ascii="Gotham Rounded Bold" w:eastAsia="Times New Roman" w:hAnsi="Gotham Rounded Bold" w:cs="Times New Roman"/>
          <w:color w:val="668899"/>
          <w:sz w:val="24"/>
          <w:szCs w:val="32"/>
          <w:lang w:eastAsia="fr-BE"/>
        </w:rPr>
        <w:br/>
      </w:r>
      <w:r w:rsidRPr="00335DAD">
        <w:rPr>
          <w:rFonts w:ascii="Gotham Rounded Bold" w:eastAsia="Times New Roman" w:hAnsi="Gotham Rounded Bold" w:cs="Times New Roman"/>
          <w:color w:val="668899"/>
          <w:sz w:val="24"/>
          <w:szCs w:val="32"/>
          <w:lang w:eastAsia="fr-BE"/>
        </w:rPr>
        <w:t xml:space="preserve">Art. </w:t>
      </w:r>
      <w:proofErr w:type="gramStart"/>
      <w:r w:rsidRPr="00335DAD">
        <w:rPr>
          <w:rFonts w:ascii="Gotham Rounded Bold" w:eastAsia="Times New Roman" w:hAnsi="Gotham Rounded Bold" w:cs="Times New Roman"/>
          <w:color w:val="668899"/>
          <w:sz w:val="24"/>
          <w:szCs w:val="32"/>
          <w:lang w:eastAsia="fr-BE"/>
        </w:rPr>
        <w:t>32</w:t>
      </w:r>
      <w:proofErr w:type="gramEnd"/>
      <w:r w:rsidRPr="00335DAD">
        <w:rPr>
          <w:rFonts w:ascii="Gotham Rounded Bold" w:eastAsia="Times New Roman" w:hAnsi="Gotham Rounded Bold" w:cs="Times New Roman"/>
          <w:color w:val="668899"/>
          <w:sz w:val="24"/>
          <w:szCs w:val="32"/>
          <w:lang w:eastAsia="fr-BE"/>
        </w:rPr>
        <w:t xml:space="preserve"> AIFMD</w:t>
      </w:r>
      <w:r w:rsidRPr="00335DAD">
        <w:rPr>
          <w:rFonts w:ascii="Gotham Rounded Bold" w:eastAsia="Times New Roman" w:hAnsi="Gotham Rounded Bold" w:cs="Times New Roman"/>
          <w:color w:val="668899"/>
          <w:sz w:val="24"/>
          <w:szCs w:val="32"/>
          <w:vertAlign w:val="superscript"/>
          <w:lang w:eastAsia="fr-BE"/>
        </w:rPr>
        <w:footnoteReference w:id="1"/>
      </w:r>
    </w:p>
    <w:p w:rsidR="00335DAD" w:rsidRPr="005A01D5" w:rsidRDefault="00335DAD" w:rsidP="00335DAD">
      <w:pPr>
        <w:pStyle w:val="NoSpacing"/>
        <w:pBdr>
          <w:top w:val="single" w:sz="2" w:space="1" w:color="auto"/>
        </w:pBdr>
      </w:pPr>
    </w:p>
    <w:p w:rsidR="009653AD" w:rsidRPr="005A01D5" w:rsidRDefault="00871482" w:rsidP="008719CB">
      <w:pPr>
        <w:pStyle w:val="Subtitle"/>
      </w:pPr>
      <w:r w:rsidRPr="005A01D5">
        <w:t>Scope:</w:t>
      </w:r>
      <w:r w:rsidR="002479B9" w:rsidRPr="007E331A">
        <w:rPr>
          <w:rFonts w:ascii="Times New Roman" w:hAnsi="Times New Roman" w:cs="Times New Roman"/>
          <w:sz w:val="24"/>
          <w:szCs w:val="24"/>
          <w:lang w:val="en-US" w:eastAsia="fr-BE"/>
        </w:rPr>
        <w:t xml:space="preserve"> </w:t>
      </w:r>
    </w:p>
    <w:sdt>
      <w:sdtPr>
        <w:alias w:val="Application Field"/>
        <w:tag w:val="ccDocAppField"/>
        <w:id w:val="413092537"/>
        <w:placeholder>
          <w:docPart w:val="ABB9C2851FED47E2A105D941D5B969DA"/>
        </w:placeholder>
        <w:dataBinding w:xpath="/ns1:coreProperties[1]/ns1:keywords[1]" w:storeItemID="{6C3C8BC8-F283-45AE-878A-BAB7291924A1}"/>
        <w:text w:multiLine="1"/>
      </w:sdtPr>
      <w:sdtEndPr/>
      <w:sdtContent>
        <w:p w:rsidR="009653AD" w:rsidRPr="005A01D5" w:rsidRDefault="00472B99" w:rsidP="0020686A">
          <w:r>
            <w:t xml:space="preserve">This Communication </w:t>
          </w:r>
          <w:proofErr w:type="gramStart"/>
          <w:r>
            <w:t>is addressed</w:t>
          </w:r>
          <w:proofErr w:type="gramEnd"/>
          <w:r>
            <w:t xml:space="preserve"> to Belgian alternative investment fund managers who intend to market, to professional investors, units or shares of European Economic Area AIFs (‘EEA’) in other EEA Member States.</w:t>
          </w:r>
        </w:p>
      </w:sdtContent>
    </w:sdt>
    <w:p w:rsidR="00917123" w:rsidRPr="005A01D5" w:rsidRDefault="00917123" w:rsidP="006C79D9">
      <w:pPr>
        <w:pStyle w:val="NoSpacing"/>
        <w:pBdr>
          <w:top w:val="single" w:sz="2" w:space="1" w:color="auto"/>
        </w:pBdr>
      </w:pPr>
    </w:p>
    <w:p w:rsidR="009D5F24" w:rsidRPr="00CF72AD" w:rsidRDefault="009D5F24" w:rsidP="00CF72AD">
      <w:pPr>
        <w:pStyle w:val="ListParagraph"/>
        <w:numPr>
          <w:ilvl w:val="0"/>
          <w:numId w:val="1"/>
        </w:numPr>
        <w:spacing w:after="120" w:line="240" w:lineRule="auto"/>
        <w:jc w:val="both"/>
        <w:rPr>
          <w:rFonts w:ascii="Calibri" w:eastAsia="Times New Roman" w:hAnsi="Calibri" w:cs="Arial"/>
          <w:szCs w:val="18"/>
          <w:lang w:eastAsia="fr-BE"/>
        </w:rPr>
      </w:pPr>
      <w:r w:rsidRPr="00CF72AD">
        <w:rPr>
          <w:rFonts w:ascii="Calibri" w:eastAsia="Times New Roman" w:hAnsi="Calibri" w:cs="Arial"/>
          <w:szCs w:val="18"/>
          <w:lang w:eastAsia="fr-BE"/>
        </w:rPr>
        <w:t xml:space="preserve">This form </w:t>
      </w:r>
      <w:proofErr w:type="gramStart"/>
      <w:r w:rsidRPr="00CF72AD">
        <w:rPr>
          <w:rFonts w:ascii="Calibri" w:eastAsia="Times New Roman" w:hAnsi="Calibri" w:cs="Arial"/>
          <w:szCs w:val="18"/>
          <w:lang w:eastAsia="fr-BE"/>
        </w:rPr>
        <w:t>should be filled out</w:t>
      </w:r>
      <w:proofErr w:type="gramEnd"/>
      <w:r w:rsidRPr="00CF72AD">
        <w:rPr>
          <w:rFonts w:ascii="Calibri" w:eastAsia="Times New Roman" w:hAnsi="Calibri" w:cs="Arial"/>
          <w:szCs w:val="18"/>
          <w:lang w:eastAsia="fr-BE"/>
        </w:rPr>
        <w:t xml:space="preserve"> by Belgian Alternative Investment Fund Managers (“AIFM”) wishing to market units or shares of European Economic Area (“EEA”) Alternative Investm</w:t>
      </w:r>
      <w:r w:rsidR="00637104">
        <w:rPr>
          <w:rFonts w:ascii="Calibri" w:eastAsia="Times New Roman" w:hAnsi="Calibri" w:cs="Arial"/>
          <w:szCs w:val="18"/>
          <w:lang w:eastAsia="fr-BE"/>
        </w:rPr>
        <w:t>ent Funds (“AIF”) in other EEA M</w:t>
      </w:r>
      <w:r w:rsidRPr="00CF72AD">
        <w:rPr>
          <w:rFonts w:ascii="Calibri" w:eastAsia="Times New Roman" w:hAnsi="Calibri" w:cs="Arial"/>
          <w:szCs w:val="18"/>
          <w:lang w:eastAsia="fr-BE"/>
        </w:rPr>
        <w:t xml:space="preserve">ember </w:t>
      </w:r>
      <w:r w:rsidR="00637104">
        <w:rPr>
          <w:rFonts w:ascii="Calibri" w:eastAsia="Times New Roman" w:hAnsi="Calibri" w:cs="Arial"/>
          <w:szCs w:val="18"/>
          <w:lang w:eastAsia="fr-BE"/>
        </w:rPr>
        <w:t>S</w:t>
      </w:r>
      <w:r w:rsidRPr="00CF72AD">
        <w:rPr>
          <w:rFonts w:ascii="Calibri" w:eastAsia="Times New Roman" w:hAnsi="Calibri" w:cs="Arial"/>
          <w:szCs w:val="18"/>
          <w:lang w:eastAsia="fr-BE"/>
        </w:rPr>
        <w:t>tates. The information provided in this notification letter should not be ambiguous.</w:t>
      </w:r>
    </w:p>
    <w:p w:rsidR="00D811BB" w:rsidRDefault="00472B99" w:rsidP="00CF72AD">
      <w:pPr>
        <w:pStyle w:val="ListParagraph"/>
        <w:numPr>
          <w:ilvl w:val="0"/>
          <w:numId w:val="1"/>
        </w:numPr>
        <w:spacing w:after="120" w:line="240" w:lineRule="auto"/>
        <w:jc w:val="both"/>
        <w:rPr>
          <w:rFonts w:ascii="Calibri" w:eastAsia="Times New Roman" w:hAnsi="Calibri" w:cs="Arial"/>
          <w:szCs w:val="18"/>
          <w:lang w:eastAsia="fr-BE"/>
        </w:rPr>
      </w:pPr>
      <w:r>
        <w:rPr>
          <w:rFonts w:ascii="Calibri" w:eastAsia="Times New Roman" w:hAnsi="Calibri" w:cs="Arial"/>
          <w:szCs w:val="18"/>
          <w:lang w:eastAsia="fr-BE"/>
        </w:rPr>
        <w:t>A</w:t>
      </w:r>
      <w:r w:rsidR="00D811BB" w:rsidRPr="00CF72AD">
        <w:rPr>
          <w:rFonts w:ascii="Calibri" w:eastAsia="Times New Roman" w:hAnsi="Calibri" w:cs="Arial"/>
          <w:szCs w:val="18"/>
          <w:lang w:eastAsia="fr-BE"/>
        </w:rPr>
        <w:t xml:space="preserve"> </w:t>
      </w:r>
      <w:r w:rsidR="00691980" w:rsidRPr="00CF72AD">
        <w:rPr>
          <w:rFonts w:ascii="Calibri" w:eastAsia="Times New Roman" w:hAnsi="Calibri" w:cs="Arial"/>
          <w:szCs w:val="18"/>
          <w:lang w:eastAsia="fr-BE"/>
        </w:rPr>
        <w:t xml:space="preserve">single </w:t>
      </w:r>
      <w:r w:rsidR="00D811BB" w:rsidRPr="00CF72AD">
        <w:rPr>
          <w:rFonts w:ascii="Calibri" w:eastAsia="Times New Roman" w:hAnsi="Calibri" w:cs="Arial"/>
          <w:szCs w:val="18"/>
          <w:lang w:eastAsia="fr-BE"/>
        </w:rPr>
        <w:t xml:space="preserve">form </w:t>
      </w:r>
      <w:proofErr w:type="gramStart"/>
      <w:r w:rsidR="00D811BB" w:rsidRPr="00CF72AD">
        <w:rPr>
          <w:rFonts w:ascii="Calibri" w:eastAsia="Times New Roman" w:hAnsi="Calibri" w:cs="Arial"/>
          <w:szCs w:val="18"/>
          <w:lang w:eastAsia="fr-BE"/>
        </w:rPr>
        <w:t>must be completed</w:t>
      </w:r>
      <w:proofErr w:type="gramEnd"/>
      <w:r w:rsidR="00D811BB" w:rsidRPr="00CF72AD">
        <w:rPr>
          <w:rFonts w:ascii="Calibri" w:eastAsia="Times New Roman" w:hAnsi="Calibri" w:cs="Arial"/>
          <w:szCs w:val="18"/>
          <w:lang w:eastAsia="fr-BE"/>
        </w:rPr>
        <w:t xml:space="preserve"> for each AIF that the AIFM intends to market in another Member State.</w:t>
      </w:r>
    </w:p>
    <w:p w:rsidR="009D5F24" w:rsidRPr="007012F8" w:rsidRDefault="007012F8" w:rsidP="00CF72AD">
      <w:pPr>
        <w:pStyle w:val="ListParagraph"/>
        <w:numPr>
          <w:ilvl w:val="0"/>
          <w:numId w:val="1"/>
        </w:numPr>
        <w:spacing w:after="120" w:line="240" w:lineRule="auto"/>
        <w:jc w:val="both"/>
        <w:rPr>
          <w:rFonts w:ascii="Calibri" w:eastAsia="Times New Roman" w:hAnsi="Calibri" w:cs="Arial"/>
          <w:szCs w:val="18"/>
          <w:lang w:eastAsia="fr-BE"/>
        </w:rPr>
      </w:pPr>
      <w:r w:rsidRPr="007012F8">
        <w:rPr>
          <w:rFonts w:ascii="Calibri" w:eastAsia="Times New Roman" w:hAnsi="Calibri" w:cs="Arial"/>
          <w:szCs w:val="18"/>
          <w:lang w:eastAsia="fr-BE"/>
        </w:rPr>
        <w:t>The f</w:t>
      </w:r>
      <w:r w:rsidR="00F30985">
        <w:rPr>
          <w:rFonts w:ascii="Calibri" w:eastAsia="Times New Roman" w:hAnsi="Calibri" w:cs="Arial"/>
          <w:szCs w:val="18"/>
          <w:lang w:eastAsia="fr-BE"/>
        </w:rPr>
        <w:t xml:space="preserve">orm and its annexes </w:t>
      </w:r>
      <w:proofErr w:type="gramStart"/>
      <w:r w:rsidR="00F30985">
        <w:rPr>
          <w:rFonts w:ascii="Calibri" w:eastAsia="Times New Roman" w:hAnsi="Calibri" w:cs="Arial"/>
          <w:szCs w:val="18"/>
          <w:lang w:eastAsia="fr-BE"/>
        </w:rPr>
        <w:t>must be sent</w:t>
      </w:r>
      <w:proofErr w:type="gramEnd"/>
      <w:r w:rsidRPr="007012F8">
        <w:rPr>
          <w:rFonts w:ascii="Calibri" w:eastAsia="Times New Roman" w:hAnsi="Calibri" w:cs="Arial"/>
          <w:szCs w:val="18"/>
          <w:lang w:eastAsia="fr-BE"/>
        </w:rPr>
        <w:t xml:space="preserve"> in </w:t>
      </w:r>
      <w:r w:rsidR="00472B99">
        <w:rPr>
          <w:rFonts w:ascii="Calibri" w:eastAsia="Times New Roman" w:hAnsi="Calibri" w:cs="Arial"/>
          <w:szCs w:val="18"/>
          <w:lang w:eastAsia="fr-BE"/>
        </w:rPr>
        <w:t>a</w:t>
      </w:r>
      <w:r w:rsidRPr="007012F8">
        <w:rPr>
          <w:rFonts w:ascii="Calibri" w:eastAsia="Times New Roman" w:hAnsi="Calibri" w:cs="Arial"/>
          <w:szCs w:val="18"/>
          <w:lang w:eastAsia="fr-BE"/>
        </w:rPr>
        <w:t xml:space="preserve"> single </w:t>
      </w:r>
      <w:r w:rsidR="00472B99">
        <w:rPr>
          <w:rFonts w:ascii="Calibri" w:eastAsia="Times New Roman" w:hAnsi="Calibri" w:cs="Arial"/>
          <w:szCs w:val="18"/>
          <w:lang w:eastAsia="fr-BE"/>
        </w:rPr>
        <w:t>PDF</w:t>
      </w:r>
      <w:r w:rsidRPr="007012F8">
        <w:rPr>
          <w:rFonts w:ascii="Calibri" w:eastAsia="Times New Roman" w:hAnsi="Calibri" w:cs="Arial"/>
          <w:szCs w:val="18"/>
          <w:lang w:eastAsia="fr-BE"/>
        </w:rPr>
        <w:t xml:space="preserve"> </w:t>
      </w:r>
      <w:r w:rsidR="00472B99">
        <w:rPr>
          <w:rFonts w:ascii="Calibri" w:eastAsia="Times New Roman" w:hAnsi="Calibri" w:cs="Arial"/>
          <w:szCs w:val="18"/>
          <w:lang w:eastAsia="fr-BE"/>
        </w:rPr>
        <w:t xml:space="preserve">document </w:t>
      </w:r>
      <w:r w:rsidR="009D5F24" w:rsidRPr="00CF72AD">
        <w:rPr>
          <w:rFonts w:ascii="Calibri" w:eastAsia="Times New Roman" w:hAnsi="Calibri" w:cs="Arial"/>
          <w:szCs w:val="18"/>
          <w:lang w:eastAsia="fr-BE"/>
        </w:rPr>
        <w:t xml:space="preserve">to the following address: </w:t>
      </w:r>
      <w:hyperlink r:id="rId12" w:history="1">
        <w:r w:rsidR="009D5F24" w:rsidRPr="00CF72AD">
          <w:rPr>
            <w:rFonts w:ascii="Calibri" w:eastAsia="Times New Roman" w:hAnsi="Calibri" w:cs="Times New Roman"/>
            <w:color w:val="002244"/>
            <w:u w:val="single"/>
            <w:lang w:eastAsia="fr-BE"/>
          </w:rPr>
          <w:t>e-notification.passporting2@fsma.be</w:t>
        </w:r>
      </w:hyperlink>
      <w:r w:rsidR="009D5F24" w:rsidRPr="00CF72AD">
        <w:rPr>
          <w:rFonts w:ascii="Calibri" w:eastAsia="Times New Roman" w:hAnsi="Calibri" w:cs="Arial"/>
          <w:szCs w:val="18"/>
          <w:lang w:eastAsia="fr-BE"/>
        </w:rPr>
        <w:t>.</w:t>
      </w:r>
    </w:p>
    <w:p w:rsidR="009D5F24" w:rsidRPr="009D5F24" w:rsidRDefault="009D5F24" w:rsidP="009D5F24">
      <w:pPr>
        <w:spacing w:after="120" w:line="240" w:lineRule="auto"/>
        <w:rPr>
          <w:rFonts w:ascii="Calibri" w:eastAsia="Times New Roman" w:hAnsi="Calibri" w:cs="Times New Roman"/>
          <w:b/>
          <w:u w:val="single"/>
          <w:lang w:eastAsia="fr-BE"/>
        </w:rPr>
      </w:pPr>
    </w:p>
    <w:p w:rsidR="009D5F24" w:rsidRPr="009D5F24" w:rsidRDefault="009D5F24" w:rsidP="009D5F24">
      <w:pPr>
        <w:keepNext/>
        <w:keepLines/>
        <w:pBdr>
          <w:top w:val="single" w:sz="12" w:space="1" w:color="33444C"/>
          <w:bottom w:val="single" w:sz="12" w:space="1" w:color="33444C"/>
        </w:pBdr>
        <w:shd w:val="clear" w:color="auto" w:fill="E0E7EA"/>
        <w:spacing w:after="0" w:line="240" w:lineRule="auto"/>
        <w:outlineLvl w:val="0"/>
        <w:rPr>
          <w:rFonts w:ascii="Calibri" w:eastAsia="Times New Roman" w:hAnsi="Calibri" w:cs="Times New Roman"/>
          <w:b/>
          <w:bCs/>
          <w:color w:val="4C6572"/>
          <w:sz w:val="24"/>
          <w:szCs w:val="24"/>
          <w:lang w:eastAsia="fr-BE"/>
        </w:rPr>
      </w:pPr>
      <w:r w:rsidRPr="009D5F24">
        <w:rPr>
          <w:rFonts w:ascii="Calibri" w:eastAsia="Times New Roman" w:hAnsi="Calibri" w:cs="Times New Roman"/>
          <w:b/>
          <w:bCs/>
          <w:color w:val="4C6572"/>
          <w:sz w:val="24"/>
          <w:szCs w:val="24"/>
          <w:lang w:eastAsia="fr-BE"/>
        </w:rPr>
        <w:t xml:space="preserve">1. </w:t>
      </w:r>
      <w:r w:rsidR="00BC4221">
        <w:rPr>
          <w:rFonts w:ascii="Calibri" w:eastAsia="Times New Roman" w:hAnsi="Calibri" w:cs="Times New Roman"/>
          <w:b/>
          <w:bCs/>
          <w:color w:val="4C6572"/>
          <w:sz w:val="24"/>
          <w:szCs w:val="24"/>
          <w:lang w:eastAsia="fr-BE"/>
        </w:rPr>
        <w:t xml:space="preserve">EEA Member State &amp; </w:t>
      </w:r>
      <w:r w:rsidRPr="009D5F24">
        <w:rPr>
          <w:rFonts w:ascii="Calibri" w:eastAsia="Times New Roman" w:hAnsi="Calibri" w:cs="Times New Roman"/>
          <w:b/>
          <w:bCs/>
          <w:color w:val="4C6572"/>
          <w:sz w:val="24"/>
          <w:szCs w:val="24"/>
          <w:lang w:eastAsia="fr-BE"/>
        </w:rPr>
        <w:t>Type of notification</w:t>
      </w:r>
    </w:p>
    <w:p w:rsidR="00BC4221" w:rsidRPr="00490005" w:rsidRDefault="00BC4221" w:rsidP="00BC4221">
      <w:pPr>
        <w:shd w:val="clear" w:color="auto" w:fill="FFFFFF"/>
        <w:spacing w:before="120" w:after="0" w:line="240" w:lineRule="auto"/>
        <w:jc w:val="both"/>
        <w:rPr>
          <w:rFonts w:eastAsia="Times New Roman" w:cstheme="minorHAnsi"/>
          <w:color w:val="000000"/>
          <w:lang w:eastAsia="nl-BE"/>
        </w:rPr>
      </w:pPr>
      <w:r w:rsidRPr="00490005">
        <w:rPr>
          <w:rFonts w:eastAsia="Times New Roman" w:cstheme="minorHAnsi"/>
          <w:color w:val="000000"/>
          <w:lang w:eastAsia="nl-BE"/>
        </w:rPr>
        <w:t xml:space="preserve">NOTIFICATION OF THE INTENTION TO MARKET UNITS OR SHARES OF AN AIF OR AIFs MANAGED BY THE SAME AIFM IN A MEMBER STATE OTHER THAN THE HOME MEMBER STATE OF THE AIFM IN ACCORDANCE WITH ARTICLE 32(2) </w:t>
      </w:r>
      <w:r w:rsidR="00122CCF" w:rsidRPr="00122CCF">
        <w:rPr>
          <w:rFonts w:eastAsia="Times New Roman" w:cstheme="minorHAnsi"/>
          <w:color w:val="000000"/>
          <w:lang w:eastAsia="nl-BE"/>
        </w:rPr>
        <w:t>OF DIRECTIVE 2011/61/EU (AIFMD)</w:t>
      </w:r>
    </w:p>
    <w:p w:rsidR="00BC4221" w:rsidRPr="00490005" w:rsidRDefault="00BC4221" w:rsidP="00490005">
      <w:pPr>
        <w:shd w:val="clear" w:color="auto" w:fill="FFFFFF"/>
        <w:spacing w:before="120" w:after="0" w:line="240" w:lineRule="auto"/>
        <w:jc w:val="both"/>
        <w:rPr>
          <w:rFonts w:eastAsia="Times New Roman" w:cstheme="minorHAnsi"/>
          <w:color w:val="000000"/>
          <w:lang w:eastAsia="nl-BE"/>
        </w:rPr>
      </w:pPr>
      <w:r w:rsidRPr="00490005">
        <w:rPr>
          <w:rFonts w:eastAsia="Times New Roman" w:cstheme="minorHAnsi"/>
          <w:color w:val="000000"/>
          <w:lang w:eastAsia="nl-BE"/>
        </w:rPr>
        <w:t>IN ______________________________________ (</w:t>
      </w:r>
      <w:r w:rsidRPr="00490005">
        <w:rPr>
          <w:rFonts w:eastAsia="Times New Roman" w:cstheme="minorHAnsi"/>
          <w:i/>
          <w:iCs/>
          <w:color w:val="000000"/>
          <w:lang w:eastAsia="nl-BE"/>
        </w:rPr>
        <w:t>the host Member State(s)</w:t>
      </w:r>
      <w:r w:rsidRPr="00490005">
        <w:rPr>
          <w:rFonts w:eastAsia="Times New Roman" w:cstheme="minorHAnsi"/>
          <w:color w:val="000000"/>
          <w:lang w:eastAsia="nl-BE"/>
        </w:rPr>
        <w:t>)</w:t>
      </w:r>
    </w:p>
    <w:p w:rsidR="00BC4221" w:rsidRPr="009D5F24" w:rsidRDefault="00190C68" w:rsidP="00BC4221">
      <w:pPr>
        <w:spacing w:before="240" w:after="120" w:line="240" w:lineRule="auto"/>
        <w:rPr>
          <w:rFonts w:ascii="Calibri" w:eastAsia="Times New Roman" w:hAnsi="Calibri" w:cs="Times New Roman"/>
          <w:lang w:eastAsia="fr-BE"/>
        </w:rPr>
      </w:pPr>
      <w:sdt>
        <w:sdtPr>
          <w:rPr>
            <w:rFonts w:ascii="Calibri" w:eastAsia="Times New Roman" w:hAnsi="Calibri" w:cs="Times New Roman"/>
            <w:lang w:eastAsia="fr-BE"/>
          </w:rPr>
          <w:id w:val="1374500021"/>
          <w14:checkbox>
            <w14:checked w14:val="0"/>
            <w14:checkedState w14:val="2612" w14:font="MS Gothic"/>
            <w14:uncheckedState w14:val="2610" w14:font="MS Gothic"/>
          </w14:checkbox>
        </w:sdtPr>
        <w:sdtEndPr/>
        <w:sdtContent>
          <w:r w:rsidR="00BC4221" w:rsidRPr="009D5F24">
            <w:rPr>
              <w:rFonts w:ascii="Segoe UI Symbol" w:eastAsia="Times New Roman" w:hAnsi="Segoe UI Symbol" w:cs="Segoe UI Symbol"/>
              <w:lang w:eastAsia="fr-BE"/>
            </w:rPr>
            <w:t>☐</w:t>
          </w:r>
        </w:sdtContent>
      </w:sdt>
      <w:r w:rsidR="00BC4221" w:rsidRPr="009D5F24">
        <w:rPr>
          <w:rFonts w:ascii="Calibri" w:eastAsia="Times New Roman" w:hAnsi="Calibri" w:cs="Times New Roman"/>
          <w:lang w:eastAsia="fr-BE"/>
        </w:rPr>
        <w:t xml:space="preserve">    Initial notification</w:t>
      </w:r>
    </w:p>
    <w:p w:rsidR="009D5F24" w:rsidRPr="009D5F24" w:rsidRDefault="00190C68" w:rsidP="009D5F24">
      <w:pPr>
        <w:spacing w:after="120" w:line="240" w:lineRule="auto"/>
        <w:rPr>
          <w:rFonts w:ascii="Calibri" w:eastAsia="Times New Roman" w:hAnsi="Calibri" w:cs="Times New Roman"/>
          <w:lang w:eastAsia="fr-BE"/>
        </w:rPr>
      </w:pPr>
      <w:sdt>
        <w:sdtPr>
          <w:rPr>
            <w:rFonts w:ascii="Calibri" w:eastAsia="Times New Roman" w:hAnsi="Calibri" w:cs="Times New Roman"/>
            <w:lang w:eastAsia="fr-BE"/>
          </w:rPr>
          <w:id w:val="-572669780"/>
          <w14:checkbox>
            <w14:checked w14:val="0"/>
            <w14:checkedState w14:val="2612" w14:font="MS Gothic"/>
            <w14:uncheckedState w14:val="2610" w14:font="MS Gothic"/>
          </w14:checkbox>
        </w:sdtPr>
        <w:sdtEndPr/>
        <w:sdtContent>
          <w:r w:rsidR="009D5F24" w:rsidRPr="009D5F24">
            <w:rPr>
              <w:rFonts w:ascii="Segoe UI Symbol" w:eastAsia="Times New Roman" w:hAnsi="Segoe UI Symbol" w:cs="Segoe UI Symbol"/>
              <w:lang w:eastAsia="fr-BE"/>
            </w:rPr>
            <w:t>☐</w:t>
          </w:r>
        </w:sdtContent>
      </w:sdt>
      <w:r w:rsidR="009D5F24" w:rsidRPr="009D5F24">
        <w:rPr>
          <w:rFonts w:ascii="Calibri" w:eastAsia="Times New Roman" w:hAnsi="Calibri" w:cs="Times New Roman"/>
          <w:lang w:eastAsia="fr-BE"/>
        </w:rPr>
        <w:t xml:space="preserve"> </w:t>
      </w:r>
      <w:r w:rsidR="004C7979">
        <w:rPr>
          <w:rFonts w:ascii="Calibri" w:eastAsia="Times New Roman" w:hAnsi="Calibri" w:cs="Times New Roman"/>
          <w:lang w:eastAsia="fr-BE"/>
        </w:rPr>
        <w:t xml:space="preserve">   </w:t>
      </w:r>
      <w:r w:rsidR="00586175">
        <w:rPr>
          <w:rFonts w:ascii="Calibri" w:eastAsia="Times New Roman" w:hAnsi="Calibri" w:cs="Times New Roman"/>
          <w:lang w:eastAsia="fr-BE"/>
        </w:rPr>
        <w:t>Changes</w:t>
      </w:r>
      <w:r w:rsidR="009D5F24" w:rsidRPr="009D5F24">
        <w:rPr>
          <w:rFonts w:ascii="Calibri" w:eastAsia="Times New Roman" w:hAnsi="Calibri" w:cs="Times New Roman"/>
          <w:lang w:eastAsia="fr-BE"/>
        </w:rPr>
        <w:t xml:space="preserve"> to information already provided in an initial notification</w:t>
      </w:r>
      <w:r w:rsidR="004C7979">
        <w:rPr>
          <w:rStyle w:val="FootnoteReference"/>
          <w:rFonts w:ascii="Calibri" w:eastAsia="Times New Roman" w:hAnsi="Calibri" w:cs="Times New Roman"/>
          <w:lang w:eastAsia="fr-BE"/>
        </w:rPr>
        <w:footnoteReference w:id="2"/>
      </w:r>
      <w:r w:rsidR="009D5F24" w:rsidRPr="009D5F24">
        <w:rPr>
          <w:rFonts w:ascii="Calibri" w:eastAsia="Times New Roman" w:hAnsi="Calibri" w:cs="Times New Roman"/>
          <w:lang w:eastAsia="fr-BE"/>
        </w:rPr>
        <w:t>.</w:t>
      </w:r>
      <w:r w:rsidR="004C7979">
        <w:rPr>
          <w:rFonts w:ascii="Calibri" w:eastAsia="Times New Roman" w:hAnsi="Calibri" w:cs="Times New Roman"/>
          <w:lang w:eastAsia="fr-BE"/>
        </w:rPr>
        <w:t xml:space="preserve"> (</w:t>
      </w:r>
      <w:r w:rsidR="004C7979" w:rsidRPr="00CF72AD">
        <w:rPr>
          <w:i/>
        </w:rPr>
        <w:t>P</w:t>
      </w:r>
      <w:r w:rsidR="004C7979" w:rsidRPr="00CF72AD">
        <w:rPr>
          <w:i/>
          <w:sz w:val="20"/>
        </w:rPr>
        <w:t xml:space="preserve">lease fill-in only the </w:t>
      </w:r>
      <w:r w:rsidR="00472B99">
        <w:rPr>
          <w:i/>
          <w:sz w:val="20"/>
        </w:rPr>
        <w:t xml:space="preserve">information that </w:t>
      </w:r>
      <w:proofErr w:type="gramStart"/>
      <w:r w:rsidR="00472B99">
        <w:rPr>
          <w:i/>
          <w:sz w:val="20"/>
        </w:rPr>
        <w:t xml:space="preserve">has been </w:t>
      </w:r>
      <w:r w:rsidR="004C7979" w:rsidRPr="00CF72AD">
        <w:rPr>
          <w:i/>
          <w:sz w:val="20"/>
        </w:rPr>
        <w:t>updated</w:t>
      </w:r>
      <w:proofErr w:type="gramEnd"/>
      <w:r w:rsidR="004C7979" w:rsidRPr="00CF72AD">
        <w:rPr>
          <w:i/>
          <w:sz w:val="20"/>
        </w:rPr>
        <w:t xml:space="preserve"> </w:t>
      </w:r>
      <w:r w:rsidR="00472B99">
        <w:rPr>
          <w:i/>
          <w:sz w:val="20"/>
        </w:rPr>
        <w:t xml:space="preserve">since </w:t>
      </w:r>
      <w:r w:rsidR="004C7979" w:rsidRPr="00CF72AD">
        <w:rPr>
          <w:i/>
          <w:sz w:val="20"/>
        </w:rPr>
        <w:t>the previous notification.</w:t>
      </w:r>
      <w:r w:rsidR="004C7979">
        <w:rPr>
          <w:sz w:val="20"/>
        </w:rPr>
        <w:t>)</w:t>
      </w:r>
    </w:p>
    <w:p w:rsidR="009D5F24" w:rsidRPr="009D5F24" w:rsidRDefault="009D5F24" w:rsidP="009D5F24">
      <w:pPr>
        <w:keepNext/>
        <w:keepLines/>
        <w:pBdr>
          <w:top w:val="single" w:sz="12" w:space="1" w:color="33444C"/>
          <w:bottom w:val="single" w:sz="12" w:space="1" w:color="33444C"/>
        </w:pBdr>
        <w:shd w:val="clear" w:color="auto" w:fill="E0E7EA"/>
        <w:spacing w:after="0" w:line="240" w:lineRule="auto"/>
        <w:outlineLvl w:val="0"/>
        <w:rPr>
          <w:rFonts w:ascii="Calibri" w:eastAsia="Times New Roman" w:hAnsi="Calibri" w:cs="Times New Roman"/>
          <w:b/>
          <w:bCs/>
          <w:color w:val="4C6572"/>
          <w:sz w:val="24"/>
          <w:szCs w:val="24"/>
          <w:lang w:eastAsia="fr-BE"/>
        </w:rPr>
      </w:pPr>
      <w:r w:rsidRPr="009D5F24">
        <w:rPr>
          <w:rFonts w:ascii="Calibri" w:eastAsia="Times New Roman" w:hAnsi="Calibri" w:cs="Times New Roman"/>
          <w:b/>
          <w:bCs/>
          <w:color w:val="4C6572"/>
          <w:sz w:val="24"/>
          <w:szCs w:val="24"/>
          <w:lang w:eastAsia="fr-BE"/>
        </w:rPr>
        <w:t xml:space="preserve">2. </w:t>
      </w:r>
      <w:r w:rsidR="002F5B50">
        <w:rPr>
          <w:rFonts w:ascii="Calibri" w:eastAsia="Times New Roman" w:hAnsi="Calibri" w:cs="Times New Roman"/>
          <w:b/>
          <w:bCs/>
          <w:color w:val="4C6572"/>
          <w:sz w:val="24"/>
          <w:szCs w:val="24"/>
          <w:lang w:eastAsia="fr-BE"/>
        </w:rPr>
        <w:t xml:space="preserve">Information on the </w:t>
      </w:r>
      <w:r w:rsidRPr="009D5F24">
        <w:rPr>
          <w:rFonts w:ascii="Calibri" w:eastAsia="Times New Roman" w:hAnsi="Calibri" w:cs="Times New Roman"/>
          <w:b/>
          <w:bCs/>
          <w:color w:val="4C6572"/>
          <w:sz w:val="24"/>
          <w:szCs w:val="24"/>
          <w:lang w:eastAsia="fr-BE"/>
        </w:rPr>
        <w:t>AIFM</w:t>
      </w:r>
      <w:r w:rsidR="002F5B50">
        <w:rPr>
          <w:rFonts w:ascii="Calibri" w:eastAsia="Times New Roman" w:hAnsi="Calibri" w:cs="Times New Roman"/>
          <w:b/>
          <w:bCs/>
          <w:color w:val="4C6572"/>
          <w:sz w:val="24"/>
          <w:szCs w:val="24"/>
          <w:lang w:eastAsia="fr-BE"/>
        </w:rPr>
        <w:t xml:space="preserve"> or internally managed AIF</w:t>
      </w:r>
    </w:p>
    <w:p w:rsidR="009D5F24" w:rsidRDefault="009D5F24" w:rsidP="009D5F24">
      <w:pPr>
        <w:spacing w:after="120" w:line="240" w:lineRule="auto"/>
        <w:rPr>
          <w:rFonts w:ascii="Calibri" w:eastAsia="Times New Roman" w:hAnsi="Calibri" w:cs="Times New Roman"/>
          <w:lang w:eastAsia="fr-BE"/>
        </w:rPr>
      </w:pPr>
    </w:p>
    <w:p w:rsidR="00490005" w:rsidRDefault="00490005" w:rsidP="00490005">
      <w:pPr>
        <w:shd w:val="clear" w:color="auto" w:fill="FFFFFF"/>
        <w:spacing w:before="240" w:after="120" w:line="240" w:lineRule="auto"/>
        <w:jc w:val="both"/>
        <w:rPr>
          <w:rFonts w:eastAsia="Times New Roman" w:cstheme="minorHAnsi"/>
          <w:b/>
          <w:bCs/>
          <w:color w:val="000000"/>
          <w:lang w:eastAsia="nl-BE"/>
        </w:rPr>
      </w:pPr>
    </w:p>
    <w:p w:rsidR="007D0324" w:rsidRPr="00490005" w:rsidRDefault="007D0324" w:rsidP="00490005">
      <w:pPr>
        <w:shd w:val="clear" w:color="auto" w:fill="FFFFFF"/>
        <w:spacing w:before="240" w:after="120" w:line="240" w:lineRule="auto"/>
        <w:jc w:val="both"/>
        <w:rPr>
          <w:rFonts w:eastAsia="Times New Roman" w:cstheme="minorHAnsi"/>
          <w:b/>
          <w:bCs/>
          <w:color w:val="000000"/>
          <w:lang w:eastAsia="nl-BE"/>
        </w:rPr>
      </w:pPr>
      <w:r w:rsidRPr="00490005">
        <w:rPr>
          <w:rFonts w:eastAsia="Times New Roman" w:cstheme="minorHAnsi"/>
          <w:b/>
          <w:bCs/>
          <w:color w:val="000000"/>
          <w:lang w:eastAsia="nl-BE"/>
        </w:rPr>
        <w:lastRenderedPageBreak/>
        <w:t>Section 1.   Identification of the AIFM or internally managed AIF</w:t>
      </w:r>
    </w:p>
    <w:tbl>
      <w:tblPr>
        <w:tblStyle w:val="TableGrid"/>
        <w:tblW w:w="10201" w:type="dxa"/>
        <w:tblLook w:val="04A0" w:firstRow="1" w:lastRow="0" w:firstColumn="1" w:lastColumn="0" w:noHBand="0" w:noVBand="1"/>
      </w:tblPr>
      <w:tblGrid>
        <w:gridCol w:w="4530"/>
        <w:gridCol w:w="5671"/>
      </w:tblGrid>
      <w:tr w:rsidR="00C6354C" w:rsidRPr="00EB06F0" w:rsidTr="004663A6">
        <w:tc>
          <w:tcPr>
            <w:tcW w:w="10201" w:type="dxa"/>
            <w:gridSpan w:val="2"/>
          </w:tcPr>
          <w:p w:rsidR="00C6354C" w:rsidRPr="00EB06F0" w:rsidRDefault="002F5B50" w:rsidP="00802864">
            <w:pPr>
              <w:spacing w:before="80" w:after="80" w:line="240" w:lineRule="auto"/>
              <w:jc w:val="both"/>
              <w:rPr>
                <w:b/>
              </w:rPr>
            </w:pPr>
            <w:r w:rsidRPr="00490005">
              <w:rPr>
                <w:rFonts w:eastAsia="Times New Roman" w:cstheme="minorHAnsi"/>
                <w:b/>
                <w:bCs/>
                <w:color w:val="000000"/>
                <w:lang w:eastAsia="nl-BE"/>
              </w:rPr>
              <w:t>Identification of the AIFM or internally managed AIF</w:t>
            </w:r>
          </w:p>
        </w:tc>
      </w:tr>
      <w:tr w:rsidR="00C6354C" w:rsidTr="004663A6">
        <w:tc>
          <w:tcPr>
            <w:tcW w:w="4530" w:type="dxa"/>
          </w:tcPr>
          <w:p w:rsidR="00C6354C" w:rsidRPr="00EB06F0" w:rsidRDefault="00C6354C" w:rsidP="00802864">
            <w:pPr>
              <w:autoSpaceDE w:val="0"/>
              <w:autoSpaceDN w:val="0"/>
              <w:adjustRightInd w:val="0"/>
              <w:spacing w:before="80" w:after="80" w:line="240" w:lineRule="auto"/>
            </w:pPr>
            <w:r w:rsidRPr="00EB06F0">
              <w:t>Name of the AIFM</w:t>
            </w:r>
            <w:r w:rsidR="002F5B50">
              <w:t xml:space="preserve"> or internally managed AIF</w:t>
            </w:r>
          </w:p>
        </w:tc>
        <w:tc>
          <w:tcPr>
            <w:tcW w:w="5671" w:type="dxa"/>
          </w:tcPr>
          <w:p w:rsidR="00C6354C" w:rsidRDefault="00C6354C" w:rsidP="00802864">
            <w:pPr>
              <w:spacing w:before="80" w:after="80" w:line="240" w:lineRule="auto"/>
              <w:jc w:val="both"/>
              <w:rPr>
                <w:sz w:val="20"/>
              </w:rPr>
            </w:pPr>
          </w:p>
        </w:tc>
      </w:tr>
      <w:tr w:rsidR="00C6354C" w:rsidTr="004663A6">
        <w:tc>
          <w:tcPr>
            <w:tcW w:w="4530" w:type="dxa"/>
          </w:tcPr>
          <w:p w:rsidR="00C6354C" w:rsidRPr="00EB06F0" w:rsidRDefault="00C6354C" w:rsidP="00802864">
            <w:pPr>
              <w:autoSpaceDE w:val="0"/>
              <w:autoSpaceDN w:val="0"/>
              <w:adjustRightInd w:val="0"/>
              <w:spacing w:before="80" w:after="80" w:line="240" w:lineRule="auto"/>
            </w:pPr>
            <w:r w:rsidRPr="00EB06F0">
              <w:t>AIFM</w:t>
            </w:r>
            <w:r w:rsidR="002F5B50">
              <w:t xml:space="preserve"> or internally managed AIF</w:t>
            </w:r>
            <w:r w:rsidRPr="00EB06F0">
              <w:t xml:space="preserve"> LEI (if available)</w:t>
            </w:r>
          </w:p>
        </w:tc>
        <w:tc>
          <w:tcPr>
            <w:tcW w:w="5671" w:type="dxa"/>
          </w:tcPr>
          <w:p w:rsidR="00C6354C" w:rsidRDefault="00C6354C" w:rsidP="00802864">
            <w:pPr>
              <w:spacing w:before="80" w:after="80" w:line="240" w:lineRule="auto"/>
              <w:jc w:val="both"/>
              <w:rPr>
                <w:sz w:val="20"/>
              </w:rPr>
            </w:pPr>
          </w:p>
        </w:tc>
      </w:tr>
      <w:tr w:rsidR="00C6354C" w:rsidTr="004663A6">
        <w:tc>
          <w:tcPr>
            <w:tcW w:w="4530" w:type="dxa"/>
          </w:tcPr>
          <w:p w:rsidR="00C6354C" w:rsidRPr="00EB06F0" w:rsidRDefault="00C6354C" w:rsidP="00802864">
            <w:pPr>
              <w:autoSpaceDE w:val="0"/>
              <w:autoSpaceDN w:val="0"/>
              <w:adjustRightInd w:val="0"/>
              <w:spacing w:before="80" w:after="80" w:line="240" w:lineRule="auto"/>
            </w:pPr>
            <w:r w:rsidRPr="00EB06F0">
              <w:t>National identification code of the AIFM</w:t>
            </w:r>
            <w:r w:rsidR="002F5B50">
              <w:t xml:space="preserve"> or internally managed AIF</w:t>
            </w:r>
            <w:r w:rsidRPr="00EB06F0">
              <w:t xml:space="preserve"> (if available)</w:t>
            </w:r>
          </w:p>
        </w:tc>
        <w:tc>
          <w:tcPr>
            <w:tcW w:w="5671" w:type="dxa"/>
          </w:tcPr>
          <w:p w:rsidR="00C6354C" w:rsidRDefault="00C6354C" w:rsidP="00802864">
            <w:pPr>
              <w:spacing w:before="80" w:after="80" w:line="240" w:lineRule="auto"/>
              <w:jc w:val="both"/>
              <w:rPr>
                <w:sz w:val="20"/>
              </w:rPr>
            </w:pPr>
          </w:p>
        </w:tc>
      </w:tr>
      <w:tr w:rsidR="00C6354C" w:rsidTr="004663A6">
        <w:tc>
          <w:tcPr>
            <w:tcW w:w="4530" w:type="dxa"/>
          </w:tcPr>
          <w:p w:rsidR="00C6354C" w:rsidRPr="00EB06F0" w:rsidRDefault="00C6354C" w:rsidP="00802864">
            <w:pPr>
              <w:autoSpaceDE w:val="0"/>
              <w:autoSpaceDN w:val="0"/>
              <w:adjustRightInd w:val="0"/>
              <w:spacing w:before="80" w:after="80" w:line="240" w:lineRule="auto"/>
            </w:pPr>
            <w:r w:rsidRPr="00EB06F0">
              <w:t>AIFM’s</w:t>
            </w:r>
            <w:r w:rsidR="002F5B50">
              <w:t xml:space="preserve"> or internally managed AIF’s</w:t>
            </w:r>
            <w:r w:rsidRPr="00EB06F0">
              <w:t xml:space="preserve"> home Member State</w:t>
            </w:r>
          </w:p>
        </w:tc>
        <w:tc>
          <w:tcPr>
            <w:tcW w:w="5671" w:type="dxa"/>
          </w:tcPr>
          <w:p w:rsidR="00C6354C" w:rsidRDefault="00C6354C" w:rsidP="00802864">
            <w:pPr>
              <w:spacing w:before="80" w:after="80" w:line="240" w:lineRule="auto"/>
              <w:jc w:val="both"/>
              <w:rPr>
                <w:sz w:val="20"/>
              </w:rPr>
            </w:pPr>
          </w:p>
        </w:tc>
      </w:tr>
      <w:tr w:rsidR="00C6354C" w:rsidTr="004663A6">
        <w:tc>
          <w:tcPr>
            <w:tcW w:w="4530" w:type="dxa"/>
          </w:tcPr>
          <w:p w:rsidR="00C6354C" w:rsidRPr="00EB06F0" w:rsidRDefault="00C6354C" w:rsidP="00802864">
            <w:pPr>
              <w:autoSpaceDE w:val="0"/>
              <w:autoSpaceDN w:val="0"/>
              <w:adjustRightInd w:val="0"/>
              <w:spacing w:before="80" w:after="80" w:line="240" w:lineRule="auto"/>
            </w:pPr>
            <w:r w:rsidRPr="00EB06F0">
              <w:t>Address and registered office/domicile, if different from address</w:t>
            </w:r>
          </w:p>
        </w:tc>
        <w:tc>
          <w:tcPr>
            <w:tcW w:w="5671" w:type="dxa"/>
          </w:tcPr>
          <w:p w:rsidR="00C6354C" w:rsidRDefault="00C6354C" w:rsidP="00802864">
            <w:pPr>
              <w:spacing w:before="80" w:after="80" w:line="240" w:lineRule="auto"/>
              <w:jc w:val="both"/>
              <w:rPr>
                <w:sz w:val="20"/>
              </w:rPr>
            </w:pPr>
          </w:p>
        </w:tc>
      </w:tr>
      <w:tr w:rsidR="002F5B50" w:rsidTr="004663A6">
        <w:tc>
          <w:tcPr>
            <w:tcW w:w="4530" w:type="dxa"/>
          </w:tcPr>
          <w:p w:rsidR="002F5B50" w:rsidRPr="00EB06F0" w:rsidRDefault="002F5B50" w:rsidP="00802864">
            <w:pPr>
              <w:autoSpaceDE w:val="0"/>
              <w:autoSpaceDN w:val="0"/>
              <w:adjustRightInd w:val="0"/>
              <w:spacing w:before="80" w:after="80" w:line="240" w:lineRule="auto"/>
            </w:pPr>
            <w:r>
              <w:t>Duration of the AIFM or internally managed AIF, where applicable</w:t>
            </w:r>
          </w:p>
        </w:tc>
        <w:tc>
          <w:tcPr>
            <w:tcW w:w="5671" w:type="dxa"/>
          </w:tcPr>
          <w:p w:rsidR="002F5B50" w:rsidRDefault="002F5B50" w:rsidP="00802864">
            <w:pPr>
              <w:spacing w:before="80" w:after="80" w:line="240" w:lineRule="auto"/>
              <w:jc w:val="both"/>
              <w:rPr>
                <w:sz w:val="20"/>
              </w:rPr>
            </w:pPr>
          </w:p>
        </w:tc>
      </w:tr>
      <w:tr w:rsidR="002F5B50" w:rsidTr="004663A6">
        <w:tc>
          <w:tcPr>
            <w:tcW w:w="4530" w:type="dxa"/>
          </w:tcPr>
          <w:p w:rsidR="002F5B50" w:rsidRPr="00EB06F0" w:rsidRDefault="002F5B50" w:rsidP="00802864">
            <w:pPr>
              <w:autoSpaceDE w:val="0"/>
              <w:autoSpaceDN w:val="0"/>
              <w:adjustRightInd w:val="0"/>
              <w:spacing w:before="80" w:after="80" w:line="240" w:lineRule="auto"/>
            </w:pPr>
            <w:r>
              <w:t>Details of AIFM’s or internally managed AIF’s website</w:t>
            </w:r>
          </w:p>
        </w:tc>
        <w:tc>
          <w:tcPr>
            <w:tcW w:w="5671" w:type="dxa"/>
          </w:tcPr>
          <w:p w:rsidR="002F5B50" w:rsidRDefault="002F5B50" w:rsidP="00802864">
            <w:pPr>
              <w:spacing w:before="80" w:after="80" w:line="240" w:lineRule="auto"/>
              <w:jc w:val="both"/>
              <w:rPr>
                <w:sz w:val="20"/>
              </w:rPr>
            </w:pPr>
          </w:p>
        </w:tc>
      </w:tr>
    </w:tbl>
    <w:p w:rsidR="00C6354C" w:rsidRDefault="00C6354C" w:rsidP="000F4DD2">
      <w:pPr>
        <w:rPr>
          <w:rFonts w:ascii="Calibri" w:eastAsia="Times New Roman" w:hAnsi="Calibri" w:cs="Times New Roman"/>
          <w:lang w:eastAsia="fr-BE"/>
        </w:rPr>
      </w:pPr>
    </w:p>
    <w:tbl>
      <w:tblPr>
        <w:tblStyle w:val="TableGrid"/>
        <w:tblW w:w="10201" w:type="dxa"/>
        <w:tblLook w:val="04A0" w:firstRow="1" w:lastRow="0" w:firstColumn="1" w:lastColumn="0" w:noHBand="0" w:noVBand="1"/>
      </w:tblPr>
      <w:tblGrid>
        <w:gridCol w:w="4530"/>
        <w:gridCol w:w="5671"/>
      </w:tblGrid>
      <w:tr w:rsidR="00C6354C" w:rsidRPr="008E3A35" w:rsidTr="004663A6">
        <w:tc>
          <w:tcPr>
            <w:tcW w:w="10201" w:type="dxa"/>
            <w:gridSpan w:val="2"/>
          </w:tcPr>
          <w:p w:rsidR="00C6354C" w:rsidRPr="008E3A35" w:rsidRDefault="002F5B50" w:rsidP="00802864">
            <w:pPr>
              <w:spacing w:before="120" w:after="120" w:line="240" w:lineRule="auto"/>
              <w:jc w:val="both"/>
              <w:rPr>
                <w:b/>
              </w:rPr>
            </w:pPr>
            <w:r w:rsidRPr="00490005">
              <w:rPr>
                <w:rFonts w:eastAsia="Times New Roman" w:cstheme="minorHAnsi"/>
                <w:b/>
                <w:bCs/>
                <w:color w:val="000000"/>
                <w:lang w:eastAsia="nl-BE"/>
              </w:rPr>
              <w:t>Contact details of the department (or contact point) responsible for the establishment of the notification letter within the AIFM or internally managed AIF</w:t>
            </w:r>
          </w:p>
        </w:tc>
      </w:tr>
      <w:tr w:rsidR="003D2960" w:rsidRPr="008E3A35" w:rsidTr="004663A6">
        <w:tc>
          <w:tcPr>
            <w:tcW w:w="4530" w:type="dxa"/>
          </w:tcPr>
          <w:p w:rsidR="003D2960" w:rsidRDefault="003D2960" w:rsidP="00802864">
            <w:pPr>
              <w:autoSpaceDE w:val="0"/>
              <w:autoSpaceDN w:val="0"/>
              <w:adjustRightInd w:val="0"/>
              <w:spacing w:before="120" w:after="120" w:line="240" w:lineRule="auto"/>
            </w:pPr>
            <w:r>
              <w:t>Name/Position</w:t>
            </w:r>
          </w:p>
        </w:tc>
        <w:tc>
          <w:tcPr>
            <w:tcW w:w="5671" w:type="dxa"/>
          </w:tcPr>
          <w:p w:rsidR="003D2960" w:rsidRPr="008E3A35" w:rsidRDefault="003D2960" w:rsidP="00802864">
            <w:pPr>
              <w:autoSpaceDE w:val="0"/>
              <w:autoSpaceDN w:val="0"/>
              <w:adjustRightInd w:val="0"/>
              <w:spacing w:before="120" w:after="120" w:line="240" w:lineRule="auto"/>
            </w:pPr>
          </w:p>
        </w:tc>
      </w:tr>
      <w:tr w:rsidR="00C6354C" w:rsidRPr="008E3A35" w:rsidTr="004663A6">
        <w:tc>
          <w:tcPr>
            <w:tcW w:w="4530" w:type="dxa"/>
          </w:tcPr>
          <w:p w:rsidR="00C6354C" w:rsidRPr="00EB06F0" w:rsidRDefault="007D0324" w:rsidP="00802864">
            <w:pPr>
              <w:autoSpaceDE w:val="0"/>
              <w:autoSpaceDN w:val="0"/>
              <w:adjustRightInd w:val="0"/>
              <w:spacing w:before="120" w:after="120" w:line="240" w:lineRule="auto"/>
            </w:pPr>
            <w:r>
              <w:t>Department (or contact point)</w:t>
            </w:r>
          </w:p>
        </w:tc>
        <w:tc>
          <w:tcPr>
            <w:tcW w:w="5671" w:type="dxa"/>
          </w:tcPr>
          <w:p w:rsidR="00C6354C" w:rsidRPr="008E3A35" w:rsidRDefault="00C6354C" w:rsidP="00802864">
            <w:pPr>
              <w:autoSpaceDE w:val="0"/>
              <w:autoSpaceDN w:val="0"/>
              <w:adjustRightInd w:val="0"/>
              <w:spacing w:before="120" w:after="120" w:line="240" w:lineRule="auto"/>
            </w:pPr>
          </w:p>
        </w:tc>
      </w:tr>
      <w:tr w:rsidR="00C6354C" w:rsidRPr="008E3A35" w:rsidTr="004663A6">
        <w:tc>
          <w:tcPr>
            <w:tcW w:w="4530" w:type="dxa"/>
          </w:tcPr>
          <w:p w:rsidR="00C6354C" w:rsidRPr="00EB06F0" w:rsidRDefault="00C6354C" w:rsidP="00802864">
            <w:pPr>
              <w:autoSpaceDE w:val="0"/>
              <w:autoSpaceDN w:val="0"/>
              <w:adjustRightInd w:val="0"/>
              <w:spacing w:before="120" w:after="120" w:line="240" w:lineRule="auto"/>
            </w:pPr>
            <w:r w:rsidRPr="00EB06F0">
              <w:t>Telephone number</w:t>
            </w:r>
          </w:p>
        </w:tc>
        <w:tc>
          <w:tcPr>
            <w:tcW w:w="5671" w:type="dxa"/>
          </w:tcPr>
          <w:p w:rsidR="00C6354C" w:rsidRPr="008E3A35" w:rsidRDefault="00C6354C" w:rsidP="00802864">
            <w:pPr>
              <w:autoSpaceDE w:val="0"/>
              <w:autoSpaceDN w:val="0"/>
              <w:adjustRightInd w:val="0"/>
              <w:spacing w:before="120" w:after="120" w:line="240" w:lineRule="auto"/>
            </w:pPr>
          </w:p>
        </w:tc>
      </w:tr>
      <w:tr w:rsidR="00C6354C" w:rsidRPr="008E3A35" w:rsidTr="004663A6">
        <w:tc>
          <w:tcPr>
            <w:tcW w:w="4530" w:type="dxa"/>
          </w:tcPr>
          <w:p w:rsidR="00C6354C" w:rsidRPr="00EB06F0" w:rsidRDefault="00C6354C" w:rsidP="00802864">
            <w:pPr>
              <w:autoSpaceDE w:val="0"/>
              <w:autoSpaceDN w:val="0"/>
              <w:adjustRightInd w:val="0"/>
              <w:spacing w:before="120" w:after="120" w:line="240" w:lineRule="auto"/>
            </w:pPr>
            <w:r w:rsidRPr="00EB06F0">
              <w:t>E-mail address</w:t>
            </w:r>
          </w:p>
        </w:tc>
        <w:tc>
          <w:tcPr>
            <w:tcW w:w="5671" w:type="dxa"/>
          </w:tcPr>
          <w:p w:rsidR="00C6354C" w:rsidRPr="008E3A35" w:rsidRDefault="00C6354C" w:rsidP="00802864">
            <w:pPr>
              <w:autoSpaceDE w:val="0"/>
              <w:autoSpaceDN w:val="0"/>
              <w:adjustRightInd w:val="0"/>
              <w:spacing w:before="120" w:after="120" w:line="240" w:lineRule="auto"/>
            </w:pPr>
          </w:p>
        </w:tc>
      </w:tr>
    </w:tbl>
    <w:p w:rsidR="00424A54" w:rsidRDefault="00424A54" w:rsidP="00C6354C">
      <w:pPr>
        <w:rPr>
          <w:rFonts w:ascii="Calibri" w:eastAsia="Times New Roman" w:hAnsi="Calibri" w:cs="Times New Roman"/>
          <w:lang w:eastAsia="fr-BE"/>
        </w:rPr>
      </w:pPr>
    </w:p>
    <w:tbl>
      <w:tblPr>
        <w:tblStyle w:val="TableGrid"/>
        <w:tblW w:w="10201" w:type="dxa"/>
        <w:tblLook w:val="04A0" w:firstRow="1" w:lastRow="0" w:firstColumn="1" w:lastColumn="0" w:noHBand="0" w:noVBand="1"/>
      </w:tblPr>
      <w:tblGrid>
        <w:gridCol w:w="4530"/>
        <w:gridCol w:w="5671"/>
      </w:tblGrid>
      <w:tr w:rsidR="007D0324" w:rsidRPr="008E3A35" w:rsidTr="00DA6F50">
        <w:tc>
          <w:tcPr>
            <w:tcW w:w="10201" w:type="dxa"/>
            <w:gridSpan w:val="2"/>
          </w:tcPr>
          <w:p w:rsidR="007D0324" w:rsidRPr="007D0324" w:rsidRDefault="007D0324" w:rsidP="00DA6F50">
            <w:pPr>
              <w:spacing w:before="120" w:after="120" w:line="240" w:lineRule="auto"/>
              <w:jc w:val="both"/>
              <w:rPr>
                <w:rFonts w:cstheme="minorHAnsi"/>
                <w:b/>
              </w:rPr>
            </w:pPr>
            <w:r w:rsidRPr="00490005">
              <w:rPr>
                <w:rFonts w:eastAsia="Times New Roman" w:cstheme="minorHAnsi"/>
                <w:b/>
                <w:bCs/>
                <w:color w:val="000000"/>
                <w:lang w:eastAsia="nl-BE"/>
              </w:rPr>
              <w:t>Details of the third party (where the AIFM or internally managed AIF designates a third party to make the notification)</w:t>
            </w:r>
          </w:p>
        </w:tc>
      </w:tr>
      <w:tr w:rsidR="007D0324" w:rsidRPr="008E3A35" w:rsidTr="00DA6F50">
        <w:tc>
          <w:tcPr>
            <w:tcW w:w="4530" w:type="dxa"/>
          </w:tcPr>
          <w:p w:rsidR="007D0324" w:rsidRPr="00EB06F0" w:rsidRDefault="007D0324" w:rsidP="00DA6F50">
            <w:pPr>
              <w:autoSpaceDE w:val="0"/>
              <w:autoSpaceDN w:val="0"/>
              <w:adjustRightInd w:val="0"/>
              <w:spacing w:before="120" w:after="120" w:line="240" w:lineRule="auto"/>
            </w:pPr>
            <w:r>
              <w:t>Third party</w:t>
            </w:r>
          </w:p>
        </w:tc>
        <w:tc>
          <w:tcPr>
            <w:tcW w:w="5671" w:type="dxa"/>
          </w:tcPr>
          <w:p w:rsidR="007D0324" w:rsidRPr="008E3A35" w:rsidRDefault="007D0324" w:rsidP="00DA6F50">
            <w:pPr>
              <w:autoSpaceDE w:val="0"/>
              <w:autoSpaceDN w:val="0"/>
              <w:adjustRightInd w:val="0"/>
              <w:spacing w:before="120" w:after="120" w:line="240" w:lineRule="auto"/>
            </w:pPr>
          </w:p>
        </w:tc>
      </w:tr>
      <w:tr w:rsidR="007D0324" w:rsidRPr="008E3A35" w:rsidTr="00DA6F50">
        <w:tc>
          <w:tcPr>
            <w:tcW w:w="4530" w:type="dxa"/>
          </w:tcPr>
          <w:p w:rsidR="007D0324" w:rsidRPr="00EB06F0" w:rsidRDefault="007D0324" w:rsidP="00DA6F50">
            <w:pPr>
              <w:autoSpaceDE w:val="0"/>
              <w:autoSpaceDN w:val="0"/>
              <w:adjustRightInd w:val="0"/>
              <w:spacing w:before="120" w:after="120" w:line="240" w:lineRule="auto"/>
            </w:pPr>
            <w:r>
              <w:t>Address</w:t>
            </w:r>
          </w:p>
        </w:tc>
        <w:tc>
          <w:tcPr>
            <w:tcW w:w="5671" w:type="dxa"/>
          </w:tcPr>
          <w:p w:rsidR="007D0324" w:rsidRPr="008E3A35" w:rsidRDefault="007D0324" w:rsidP="00DA6F50">
            <w:pPr>
              <w:autoSpaceDE w:val="0"/>
              <w:autoSpaceDN w:val="0"/>
              <w:adjustRightInd w:val="0"/>
              <w:spacing w:before="120" w:after="120" w:line="240" w:lineRule="auto"/>
            </w:pPr>
          </w:p>
        </w:tc>
      </w:tr>
      <w:tr w:rsidR="007D0324" w:rsidRPr="008E3A35" w:rsidTr="00DA6F50">
        <w:tc>
          <w:tcPr>
            <w:tcW w:w="4530" w:type="dxa"/>
          </w:tcPr>
          <w:p w:rsidR="007D0324" w:rsidRPr="00EB06F0" w:rsidRDefault="007D0324" w:rsidP="00DA6F50">
            <w:pPr>
              <w:autoSpaceDE w:val="0"/>
              <w:autoSpaceDN w:val="0"/>
              <w:adjustRightInd w:val="0"/>
              <w:spacing w:before="120" w:after="120" w:line="240" w:lineRule="auto"/>
            </w:pPr>
            <w:r>
              <w:t>Department (or contact point)</w:t>
            </w:r>
          </w:p>
        </w:tc>
        <w:tc>
          <w:tcPr>
            <w:tcW w:w="5671" w:type="dxa"/>
          </w:tcPr>
          <w:p w:rsidR="007D0324" w:rsidRPr="008E3A35" w:rsidRDefault="007D0324" w:rsidP="00DA6F50">
            <w:pPr>
              <w:autoSpaceDE w:val="0"/>
              <w:autoSpaceDN w:val="0"/>
              <w:adjustRightInd w:val="0"/>
              <w:spacing w:before="120" w:after="120" w:line="240" w:lineRule="auto"/>
            </w:pPr>
          </w:p>
        </w:tc>
      </w:tr>
      <w:tr w:rsidR="007D0324" w:rsidRPr="008E3A35" w:rsidTr="00DA6F50">
        <w:tc>
          <w:tcPr>
            <w:tcW w:w="4530" w:type="dxa"/>
          </w:tcPr>
          <w:p w:rsidR="007D0324" w:rsidRPr="00EB06F0" w:rsidRDefault="007D0324" w:rsidP="00DA6F50">
            <w:pPr>
              <w:autoSpaceDE w:val="0"/>
              <w:autoSpaceDN w:val="0"/>
              <w:adjustRightInd w:val="0"/>
              <w:spacing w:before="120" w:after="120" w:line="240" w:lineRule="auto"/>
            </w:pPr>
            <w:r w:rsidRPr="00EB06F0">
              <w:t>Telephone number</w:t>
            </w:r>
          </w:p>
        </w:tc>
        <w:tc>
          <w:tcPr>
            <w:tcW w:w="5671" w:type="dxa"/>
          </w:tcPr>
          <w:p w:rsidR="007D0324" w:rsidRPr="008E3A35" w:rsidRDefault="007D0324" w:rsidP="00DA6F50">
            <w:pPr>
              <w:autoSpaceDE w:val="0"/>
              <w:autoSpaceDN w:val="0"/>
              <w:adjustRightInd w:val="0"/>
              <w:spacing w:before="120" w:after="120" w:line="240" w:lineRule="auto"/>
            </w:pPr>
          </w:p>
        </w:tc>
      </w:tr>
      <w:tr w:rsidR="007D0324" w:rsidRPr="008E3A35" w:rsidTr="00DA6F50">
        <w:tc>
          <w:tcPr>
            <w:tcW w:w="4530" w:type="dxa"/>
          </w:tcPr>
          <w:p w:rsidR="007D0324" w:rsidRPr="00EB06F0" w:rsidRDefault="007D0324" w:rsidP="00DA6F50">
            <w:pPr>
              <w:autoSpaceDE w:val="0"/>
              <w:autoSpaceDN w:val="0"/>
              <w:adjustRightInd w:val="0"/>
              <w:spacing w:before="120" w:after="120" w:line="240" w:lineRule="auto"/>
            </w:pPr>
            <w:r w:rsidRPr="00EB06F0">
              <w:t>E-mail address</w:t>
            </w:r>
          </w:p>
        </w:tc>
        <w:tc>
          <w:tcPr>
            <w:tcW w:w="5671" w:type="dxa"/>
          </w:tcPr>
          <w:p w:rsidR="007D0324" w:rsidRPr="008E3A35" w:rsidRDefault="007D0324" w:rsidP="00DA6F50">
            <w:pPr>
              <w:autoSpaceDE w:val="0"/>
              <w:autoSpaceDN w:val="0"/>
              <w:adjustRightInd w:val="0"/>
              <w:spacing w:before="120" w:after="120" w:line="240" w:lineRule="auto"/>
            </w:pPr>
          </w:p>
        </w:tc>
      </w:tr>
    </w:tbl>
    <w:p w:rsidR="007D0324" w:rsidRDefault="007D0324" w:rsidP="00C6354C">
      <w:pPr>
        <w:rPr>
          <w:rFonts w:ascii="Calibri" w:eastAsia="Times New Roman" w:hAnsi="Calibri" w:cs="Times New Roman"/>
          <w:lang w:eastAsia="fr-BE"/>
        </w:rPr>
      </w:pPr>
    </w:p>
    <w:tbl>
      <w:tblPr>
        <w:tblStyle w:val="TableGrid"/>
        <w:tblW w:w="10201" w:type="dxa"/>
        <w:tblLook w:val="04A0" w:firstRow="1" w:lastRow="0" w:firstColumn="1" w:lastColumn="0" w:noHBand="0" w:noVBand="1"/>
      </w:tblPr>
      <w:tblGrid>
        <w:gridCol w:w="4530"/>
        <w:gridCol w:w="5671"/>
      </w:tblGrid>
      <w:tr w:rsidR="00C6354C" w:rsidRPr="00EB06F0" w:rsidTr="004663A6">
        <w:tc>
          <w:tcPr>
            <w:tcW w:w="10201" w:type="dxa"/>
            <w:gridSpan w:val="2"/>
          </w:tcPr>
          <w:p w:rsidR="00C6354C" w:rsidRPr="00EB06F0" w:rsidRDefault="00C6354C" w:rsidP="00802864">
            <w:pPr>
              <w:spacing w:before="120" w:after="120" w:line="240" w:lineRule="auto"/>
              <w:jc w:val="both"/>
              <w:rPr>
                <w:rFonts w:cstheme="minorHAnsi"/>
                <w:b/>
              </w:rPr>
            </w:pPr>
            <w:r w:rsidRPr="00EB06F0">
              <w:rPr>
                <w:rFonts w:cstheme="minorHAnsi"/>
                <w:b/>
              </w:rPr>
              <w:lastRenderedPageBreak/>
              <w:t xml:space="preserve">Contact </w:t>
            </w:r>
            <w:r w:rsidRPr="008E3A35">
              <w:rPr>
                <w:b/>
              </w:rPr>
              <w:t>point</w:t>
            </w:r>
            <w:r w:rsidRPr="00EB06F0">
              <w:rPr>
                <w:rFonts w:cstheme="minorHAnsi"/>
                <w:b/>
              </w:rPr>
              <w:t xml:space="preserve"> for the transmission of the invoice or for the communication of any applicable regulatory fee or charges (if applicable)</w:t>
            </w:r>
            <w:r w:rsidRPr="00EB06F0">
              <w:rPr>
                <w:rStyle w:val="FootnoteReference"/>
                <w:rFonts w:cstheme="minorHAnsi"/>
                <w:b/>
              </w:rPr>
              <w:footnoteReference w:id="3"/>
            </w:r>
          </w:p>
        </w:tc>
      </w:tr>
      <w:tr w:rsidR="00C6354C" w:rsidRPr="008E3A35" w:rsidTr="004663A6">
        <w:tc>
          <w:tcPr>
            <w:tcW w:w="4530" w:type="dxa"/>
          </w:tcPr>
          <w:p w:rsidR="00C6354C" w:rsidRPr="008E3A35" w:rsidRDefault="003D2960" w:rsidP="00802864">
            <w:pPr>
              <w:autoSpaceDE w:val="0"/>
              <w:autoSpaceDN w:val="0"/>
              <w:adjustRightInd w:val="0"/>
              <w:spacing w:before="120" w:after="120" w:line="240" w:lineRule="auto"/>
            </w:pPr>
            <w:r>
              <w:t>Name/Position</w:t>
            </w:r>
          </w:p>
        </w:tc>
        <w:tc>
          <w:tcPr>
            <w:tcW w:w="5671" w:type="dxa"/>
          </w:tcPr>
          <w:p w:rsidR="00C6354C" w:rsidRPr="008E3A35" w:rsidRDefault="00C6354C" w:rsidP="00802864">
            <w:pPr>
              <w:autoSpaceDE w:val="0"/>
              <w:autoSpaceDN w:val="0"/>
              <w:adjustRightInd w:val="0"/>
              <w:spacing w:before="120" w:after="120" w:line="240" w:lineRule="auto"/>
            </w:pPr>
          </w:p>
        </w:tc>
      </w:tr>
      <w:tr w:rsidR="00C6354C" w:rsidRPr="008E3A35" w:rsidTr="004663A6">
        <w:tc>
          <w:tcPr>
            <w:tcW w:w="4530" w:type="dxa"/>
          </w:tcPr>
          <w:p w:rsidR="00C6354C" w:rsidRPr="008E3A35" w:rsidRDefault="003D2960" w:rsidP="00802864">
            <w:pPr>
              <w:autoSpaceDE w:val="0"/>
              <w:autoSpaceDN w:val="0"/>
              <w:adjustRightInd w:val="0"/>
              <w:spacing w:before="120" w:after="120" w:line="240" w:lineRule="auto"/>
            </w:pPr>
            <w:r>
              <w:t>Address for correspondence</w:t>
            </w:r>
          </w:p>
        </w:tc>
        <w:tc>
          <w:tcPr>
            <w:tcW w:w="5671" w:type="dxa"/>
          </w:tcPr>
          <w:p w:rsidR="00C6354C" w:rsidRPr="008E3A35" w:rsidRDefault="00C6354C" w:rsidP="00802864">
            <w:pPr>
              <w:autoSpaceDE w:val="0"/>
              <w:autoSpaceDN w:val="0"/>
              <w:adjustRightInd w:val="0"/>
              <w:spacing w:before="120" w:after="120" w:line="240" w:lineRule="auto"/>
            </w:pPr>
          </w:p>
        </w:tc>
      </w:tr>
      <w:tr w:rsidR="00C6354C" w:rsidRPr="008E3A35" w:rsidTr="004663A6">
        <w:tc>
          <w:tcPr>
            <w:tcW w:w="4530" w:type="dxa"/>
          </w:tcPr>
          <w:p w:rsidR="00C6354C" w:rsidRPr="008E3A35" w:rsidRDefault="003D2960" w:rsidP="00802864">
            <w:pPr>
              <w:autoSpaceDE w:val="0"/>
              <w:autoSpaceDN w:val="0"/>
              <w:adjustRightInd w:val="0"/>
              <w:spacing w:before="120" w:after="120" w:line="240" w:lineRule="auto"/>
            </w:pPr>
            <w:r>
              <w:t>Telephone number</w:t>
            </w:r>
          </w:p>
        </w:tc>
        <w:tc>
          <w:tcPr>
            <w:tcW w:w="5671" w:type="dxa"/>
          </w:tcPr>
          <w:p w:rsidR="00C6354C" w:rsidRPr="008E3A35" w:rsidRDefault="00C6354C" w:rsidP="00802864">
            <w:pPr>
              <w:autoSpaceDE w:val="0"/>
              <w:autoSpaceDN w:val="0"/>
              <w:adjustRightInd w:val="0"/>
              <w:spacing w:before="120" w:after="120" w:line="240" w:lineRule="auto"/>
            </w:pPr>
          </w:p>
        </w:tc>
      </w:tr>
      <w:tr w:rsidR="00C6354C" w:rsidRPr="008E3A35" w:rsidTr="004663A6">
        <w:tc>
          <w:tcPr>
            <w:tcW w:w="4530" w:type="dxa"/>
          </w:tcPr>
          <w:p w:rsidR="00C6354C" w:rsidRPr="008E3A35" w:rsidRDefault="003D2960" w:rsidP="00802864">
            <w:pPr>
              <w:autoSpaceDE w:val="0"/>
              <w:autoSpaceDN w:val="0"/>
              <w:adjustRightInd w:val="0"/>
              <w:spacing w:before="120" w:after="120" w:line="240" w:lineRule="auto"/>
            </w:pPr>
            <w:r>
              <w:t>Email address</w:t>
            </w:r>
          </w:p>
        </w:tc>
        <w:tc>
          <w:tcPr>
            <w:tcW w:w="5671" w:type="dxa"/>
          </w:tcPr>
          <w:p w:rsidR="00C6354C" w:rsidRPr="008E3A35" w:rsidRDefault="00C6354C" w:rsidP="00802864">
            <w:pPr>
              <w:autoSpaceDE w:val="0"/>
              <w:autoSpaceDN w:val="0"/>
              <w:adjustRightInd w:val="0"/>
              <w:spacing w:before="120" w:after="120" w:line="240" w:lineRule="auto"/>
            </w:pPr>
          </w:p>
        </w:tc>
      </w:tr>
    </w:tbl>
    <w:p w:rsidR="00C6354C" w:rsidRDefault="00C6354C" w:rsidP="00490005">
      <w:pPr>
        <w:spacing w:after="0"/>
        <w:rPr>
          <w:rFonts w:ascii="Calibri" w:eastAsia="Times New Roman" w:hAnsi="Calibri" w:cs="Times New Roman"/>
          <w:lang w:eastAsia="fr-BE"/>
        </w:rPr>
      </w:pPr>
    </w:p>
    <w:p w:rsidR="004663A6" w:rsidRDefault="004663A6" w:rsidP="004663A6">
      <w:pPr>
        <w:rPr>
          <w:rFonts w:eastAsia="Times New Roman" w:cstheme="minorHAnsi"/>
          <w:color w:val="000000"/>
          <w:lang w:eastAsia="nl-BE"/>
        </w:rPr>
      </w:pPr>
      <w:r w:rsidRPr="00490005">
        <w:rPr>
          <w:rFonts w:eastAsia="Times New Roman" w:cstheme="minorHAnsi"/>
          <w:color w:val="000000"/>
          <w:lang w:eastAsia="nl-BE"/>
        </w:rPr>
        <w:t>If the contact for the invoices is the same than the contact to the AIFM, please clearly specify that.</w:t>
      </w:r>
    </w:p>
    <w:tbl>
      <w:tblPr>
        <w:tblStyle w:val="TableGrid"/>
        <w:tblW w:w="0" w:type="auto"/>
        <w:tblLook w:val="04A0" w:firstRow="1" w:lastRow="0" w:firstColumn="1" w:lastColumn="0" w:noHBand="0" w:noVBand="1"/>
      </w:tblPr>
      <w:tblGrid>
        <w:gridCol w:w="4531"/>
        <w:gridCol w:w="5663"/>
      </w:tblGrid>
      <w:tr w:rsidR="003D2960" w:rsidTr="003D2960">
        <w:tc>
          <w:tcPr>
            <w:tcW w:w="4531" w:type="dxa"/>
          </w:tcPr>
          <w:p w:rsidR="003D2960" w:rsidRDefault="003D2960" w:rsidP="003D2960">
            <w:pPr>
              <w:spacing w:after="0"/>
              <w:jc w:val="both"/>
              <w:rPr>
                <w:rFonts w:eastAsia="Times New Roman" w:cstheme="minorHAnsi"/>
                <w:color w:val="000000"/>
                <w:lang w:eastAsia="nl-BE"/>
              </w:rPr>
            </w:pPr>
            <w:r>
              <w:rPr>
                <w:color w:val="333333"/>
                <w:shd w:val="clear" w:color="auto" w:fill="FFFFFF"/>
              </w:rPr>
              <w:t>Please specify which email address provided in this section (contact point at the AIFM or internally managed AIF, contact point within the appointed third party or contact point for the transmission of the invoice) is the preferred address to which the host NCA can transmit any confidential information (inter alia, login and password to access the national systems for reporting.</w:t>
            </w:r>
          </w:p>
        </w:tc>
        <w:tc>
          <w:tcPr>
            <w:tcW w:w="5663" w:type="dxa"/>
          </w:tcPr>
          <w:p w:rsidR="003D2960" w:rsidRDefault="003D2960" w:rsidP="004663A6">
            <w:pPr>
              <w:rPr>
                <w:rFonts w:eastAsia="Times New Roman" w:cstheme="minorHAnsi"/>
                <w:color w:val="000000"/>
                <w:lang w:eastAsia="nl-BE"/>
              </w:rPr>
            </w:pPr>
          </w:p>
        </w:tc>
      </w:tr>
    </w:tbl>
    <w:p w:rsidR="003D2960" w:rsidRPr="00490005" w:rsidRDefault="003D2960" w:rsidP="004663A6">
      <w:pPr>
        <w:rPr>
          <w:rFonts w:eastAsia="Times New Roman" w:cstheme="minorHAnsi"/>
          <w:color w:val="000000"/>
          <w:lang w:eastAsia="nl-BE"/>
        </w:rPr>
      </w:pPr>
    </w:p>
    <w:p w:rsidR="007D0324" w:rsidRPr="00490005" w:rsidRDefault="007D0324" w:rsidP="007D0324">
      <w:pPr>
        <w:shd w:val="clear" w:color="auto" w:fill="FFFFFF"/>
        <w:spacing w:before="240" w:after="120" w:line="240" w:lineRule="auto"/>
        <w:jc w:val="both"/>
        <w:rPr>
          <w:rFonts w:eastAsia="Times New Roman" w:cstheme="minorHAnsi"/>
          <w:b/>
          <w:bCs/>
          <w:color w:val="000000"/>
          <w:lang w:eastAsia="nl-BE"/>
        </w:rPr>
      </w:pPr>
      <w:r w:rsidRPr="00490005">
        <w:rPr>
          <w:rFonts w:eastAsia="Times New Roman" w:cstheme="minorHAnsi"/>
          <w:b/>
          <w:bCs/>
          <w:color w:val="000000"/>
          <w:lang w:eastAsia="nl-BE"/>
        </w:rPr>
        <w:t>Section 2.   Facilities to retail investors (where relevant)</w:t>
      </w:r>
    </w:p>
    <w:p w:rsidR="007D0324" w:rsidRPr="00490005" w:rsidRDefault="007D0324" w:rsidP="007D0324">
      <w:pPr>
        <w:shd w:val="clear" w:color="auto" w:fill="FFFFFF"/>
        <w:spacing w:before="120" w:after="0" w:line="240" w:lineRule="auto"/>
        <w:jc w:val="both"/>
        <w:rPr>
          <w:rFonts w:eastAsia="Times New Roman" w:cstheme="minorHAnsi"/>
          <w:color w:val="000000"/>
          <w:lang w:eastAsia="nl-BE"/>
        </w:rPr>
      </w:pPr>
      <w:r w:rsidRPr="00490005">
        <w:rPr>
          <w:rFonts w:eastAsia="Times New Roman" w:cstheme="minorHAnsi"/>
          <w:color w:val="000000"/>
          <w:lang w:eastAsia="nl-BE"/>
        </w:rPr>
        <w:t>Pursuant to Article 32(1) of Directive 2011/61/EU, EU AIFMs are authorised to market units or shares of EU AIFs they manage to professional investors in other Member States than their home Member State. However, Member States may allow AIFMs to market to retail investors in their territory units or shares of AIFs they manage in accordance with Article 43 of Directive 2011/61/EU.</w:t>
      </w:r>
    </w:p>
    <w:p w:rsidR="007D0324" w:rsidRPr="00490005" w:rsidRDefault="007D0324" w:rsidP="007D0324">
      <w:pPr>
        <w:shd w:val="clear" w:color="auto" w:fill="FFFFFF"/>
        <w:spacing w:before="120" w:after="0" w:line="240" w:lineRule="auto"/>
        <w:jc w:val="both"/>
        <w:rPr>
          <w:rFonts w:eastAsia="Times New Roman" w:cstheme="minorHAnsi"/>
          <w:color w:val="000000"/>
          <w:lang w:eastAsia="nl-BE"/>
        </w:rPr>
      </w:pPr>
      <w:r w:rsidRPr="00490005">
        <w:rPr>
          <w:rFonts w:eastAsia="Times New Roman" w:cstheme="minorHAnsi"/>
          <w:color w:val="000000"/>
          <w:lang w:eastAsia="nl-BE"/>
        </w:rPr>
        <w:t xml:space="preserve">The information on facilities to retail investors </w:t>
      </w:r>
      <w:proofErr w:type="gramStart"/>
      <w:r w:rsidRPr="00490005">
        <w:rPr>
          <w:rFonts w:eastAsia="Times New Roman" w:cstheme="minorHAnsi"/>
          <w:color w:val="000000"/>
          <w:lang w:eastAsia="nl-BE"/>
        </w:rPr>
        <w:t>must be filled</w:t>
      </w:r>
      <w:proofErr w:type="gramEnd"/>
      <w:r w:rsidRPr="00490005">
        <w:rPr>
          <w:rFonts w:eastAsia="Times New Roman" w:cstheme="minorHAnsi"/>
          <w:color w:val="000000"/>
          <w:lang w:eastAsia="nl-BE"/>
        </w:rPr>
        <w:t xml:space="preserve"> in case marketing of the AIFs targets retail investors.</w:t>
      </w:r>
    </w:p>
    <w:p w:rsidR="007D0324" w:rsidRPr="00490005" w:rsidRDefault="007D0324" w:rsidP="007D0324">
      <w:pPr>
        <w:shd w:val="clear" w:color="auto" w:fill="FFFFFF"/>
        <w:spacing w:before="120" w:after="0" w:line="240" w:lineRule="auto"/>
        <w:jc w:val="both"/>
        <w:rPr>
          <w:rFonts w:eastAsia="Times New Roman" w:cstheme="minorHAnsi"/>
          <w:color w:val="000000"/>
          <w:lang w:eastAsia="nl-BE"/>
        </w:rPr>
      </w:pPr>
      <w:r w:rsidRPr="00490005">
        <w:rPr>
          <w:rFonts w:eastAsia="Times New Roman" w:cstheme="minorHAnsi"/>
          <w:color w:val="000000"/>
          <w:lang w:eastAsia="nl-BE"/>
        </w:rPr>
        <w:t>In accordance with point (j) of Annex IV of Directive 2011/61/EU, please fill-in the following table to provide information on the facilities to perform the tasks referred to in Article 43a(1) of this Directive:</w:t>
      </w:r>
    </w:p>
    <w:p w:rsidR="007D0324" w:rsidRDefault="007D0324" w:rsidP="007D0324">
      <w:pPr>
        <w:spacing w:after="120" w:line="240" w:lineRule="auto"/>
        <w:rPr>
          <w:rFonts w:ascii="Calibri" w:eastAsia="Times New Roman" w:hAnsi="Calibri" w:cs="Times New Roman"/>
          <w:lang w:eastAsia="fr-BE"/>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678"/>
        <w:gridCol w:w="2787"/>
        <w:gridCol w:w="3723"/>
      </w:tblGrid>
      <w:tr w:rsidR="007D0324" w:rsidRPr="007D0324" w:rsidTr="00490005">
        <w:tc>
          <w:tcPr>
            <w:tcW w:w="1805" w:type="pct"/>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490005">
            <w:pPr>
              <w:spacing w:before="60" w:after="60" w:line="240" w:lineRule="auto"/>
              <w:ind w:right="195"/>
              <w:rPr>
                <w:rFonts w:eastAsia="Times New Roman" w:cstheme="minorHAnsi"/>
                <w:b/>
                <w:bCs/>
                <w:color w:val="000000"/>
                <w:lang w:val="nl-BE" w:eastAsia="nl-BE"/>
              </w:rPr>
            </w:pPr>
            <w:proofErr w:type="spellStart"/>
            <w:r w:rsidRPr="00490005">
              <w:rPr>
                <w:rFonts w:eastAsia="Times New Roman" w:cstheme="minorHAnsi"/>
                <w:b/>
                <w:bCs/>
                <w:color w:val="000000"/>
                <w:lang w:val="nl-BE" w:eastAsia="nl-BE"/>
              </w:rPr>
              <w:t>Task</w:t>
            </w:r>
            <w:proofErr w:type="spellEnd"/>
            <w:r w:rsidRPr="00490005">
              <w:rPr>
                <w:rFonts w:eastAsia="Times New Roman" w:cstheme="minorHAnsi"/>
                <w:b/>
                <w:bCs/>
                <w:color w:val="000000"/>
                <w:lang w:val="nl-BE" w:eastAsia="nl-BE"/>
              </w:rPr>
              <w:t xml:space="preserve"> of </w:t>
            </w:r>
            <w:proofErr w:type="spellStart"/>
            <w:r w:rsidRPr="00490005">
              <w:rPr>
                <w:rFonts w:eastAsia="Times New Roman" w:cstheme="minorHAnsi"/>
                <w:b/>
                <w:bCs/>
                <w:color w:val="000000"/>
                <w:lang w:val="nl-BE" w:eastAsia="nl-BE"/>
              </w:rPr>
              <w:t>the</w:t>
            </w:r>
            <w:proofErr w:type="spellEnd"/>
            <w:r w:rsidRPr="00490005">
              <w:rPr>
                <w:rFonts w:eastAsia="Times New Roman" w:cstheme="minorHAnsi"/>
                <w:b/>
                <w:bCs/>
                <w:color w:val="000000"/>
                <w:lang w:val="nl-BE" w:eastAsia="nl-BE"/>
              </w:rPr>
              <w:t xml:space="preserve"> facility</w:t>
            </w:r>
          </w:p>
        </w:tc>
        <w:tc>
          <w:tcPr>
            <w:tcW w:w="1368" w:type="pct"/>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490005">
            <w:pPr>
              <w:spacing w:before="60" w:after="60" w:line="240" w:lineRule="auto"/>
              <w:ind w:right="195"/>
              <w:rPr>
                <w:rFonts w:eastAsia="Times New Roman" w:cstheme="minorHAnsi"/>
                <w:b/>
                <w:bCs/>
                <w:color w:val="000000"/>
                <w:lang w:eastAsia="nl-BE"/>
              </w:rPr>
            </w:pPr>
            <w:r w:rsidRPr="00490005">
              <w:rPr>
                <w:rFonts w:eastAsia="Times New Roman" w:cstheme="minorHAnsi"/>
                <w:b/>
                <w:bCs/>
                <w:color w:val="000000"/>
                <w:lang w:eastAsia="nl-BE"/>
              </w:rPr>
              <w:t>Information on the facilities performing the tasks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490005">
            <w:pPr>
              <w:spacing w:before="60" w:after="60" w:line="240" w:lineRule="auto"/>
              <w:ind w:right="195"/>
              <w:rPr>
                <w:rFonts w:eastAsia="Times New Roman" w:cstheme="minorHAnsi"/>
                <w:b/>
                <w:bCs/>
                <w:color w:val="000000"/>
                <w:lang w:eastAsia="nl-BE"/>
              </w:rPr>
            </w:pPr>
            <w:r w:rsidRPr="00490005">
              <w:rPr>
                <w:rFonts w:eastAsia="Times New Roman" w:cstheme="minorHAnsi"/>
                <w:b/>
                <w:bCs/>
                <w:color w:val="000000"/>
                <w:lang w:eastAsia="nl-BE"/>
              </w:rPr>
              <w:t>Name/legal form/registered office/address, email, and telephone number for correspondence of the entity responsible to provide the facilities</w:t>
            </w:r>
          </w:p>
        </w:tc>
      </w:tr>
      <w:tr w:rsidR="007D0324" w:rsidRPr="007D0324" w:rsidTr="00490005">
        <w:tc>
          <w:tcPr>
            <w:tcW w:w="1805" w:type="pct"/>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60" w:after="60" w:line="240" w:lineRule="auto"/>
              <w:rPr>
                <w:rFonts w:eastAsia="Times New Roman" w:cstheme="minorHAnsi"/>
                <w:color w:val="000000"/>
                <w:lang w:eastAsia="nl-BE"/>
              </w:rPr>
            </w:pPr>
            <w:r w:rsidRPr="00490005">
              <w:rPr>
                <w:rFonts w:eastAsia="Times New Roman" w:cstheme="minorHAnsi"/>
                <w:color w:val="000000"/>
                <w:lang w:eastAsia="nl-BE"/>
              </w:rPr>
              <w:t>Process investor</w:t>
            </w:r>
            <w:r w:rsidRPr="00490005">
              <w:rPr>
                <w:rFonts w:eastAsia="Times New Roman" w:cstheme="minorHAnsi" w:hint="eastAsia"/>
                <w:color w:val="000000"/>
                <w:lang w:eastAsia="nl-BE"/>
              </w:rPr>
              <w:t>’</w:t>
            </w:r>
            <w:r w:rsidRPr="00490005">
              <w:rPr>
                <w:rFonts w:eastAsia="Times New Roman" w:cstheme="minorHAnsi"/>
                <w:color w:val="000000"/>
                <w:lang w:eastAsia="nl-BE"/>
              </w:rPr>
              <w:t>s subscription, payment, and redemption (or repurchase) orders relating to the units or shares of the AIF</w:t>
            </w:r>
          </w:p>
        </w:tc>
        <w:tc>
          <w:tcPr>
            <w:tcW w:w="1368" w:type="pct"/>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120" w:after="0" w:line="240" w:lineRule="auto"/>
              <w:jc w:val="both"/>
              <w:rPr>
                <w:rFonts w:eastAsia="Times New Roman" w:cstheme="minorHAnsi"/>
                <w:color w:val="000000"/>
                <w:sz w:val="24"/>
                <w:szCs w:val="24"/>
                <w:lang w:eastAsia="nl-BE"/>
              </w:rPr>
            </w:pPr>
            <w:r w:rsidRPr="00490005">
              <w:rPr>
                <w:rFonts w:eastAsia="Times New Roman" w:cstheme="minorHAnsi" w:hint="eastAsia"/>
                <w:color w:val="000000"/>
                <w:sz w:val="24"/>
                <w:szCs w:val="24"/>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120" w:after="0" w:line="240" w:lineRule="auto"/>
              <w:jc w:val="both"/>
              <w:rPr>
                <w:rFonts w:eastAsia="Times New Roman" w:cstheme="minorHAnsi"/>
                <w:color w:val="000000"/>
                <w:sz w:val="24"/>
                <w:szCs w:val="24"/>
                <w:lang w:eastAsia="nl-BE"/>
              </w:rPr>
            </w:pPr>
            <w:r w:rsidRPr="00490005">
              <w:rPr>
                <w:rFonts w:eastAsia="Times New Roman" w:cstheme="minorHAnsi" w:hint="eastAsia"/>
                <w:color w:val="000000"/>
                <w:sz w:val="24"/>
                <w:szCs w:val="24"/>
                <w:lang w:eastAsia="nl-BE"/>
              </w:rPr>
              <w:t> </w:t>
            </w:r>
          </w:p>
        </w:tc>
      </w:tr>
      <w:tr w:rsidR="007D0324" w:rsidRPr="007D0324" w:rsidTr="00490005">
        <w:tc>
          <w:tcPr>
            <w:tcW w:w="1805" w:type="pct"/>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60" w:after="60" w:line="240" w:lineRule="auto"/>
              <w:rPr>
                <w:rFonts w:eastAsia="Times New Roman" w:cstheme="minorHAnsi"/>
                <w:color w:val="000000"/>
                <w:lang w:eastAsia="nl-BE"/>
              </w:rPr>
            </w:pPr>
            <w:r w:rsidRPr="00490005">
              <w:rPr>
                <w:rFonts w:eastAsia="Times New Roman" w:cstheme="minorHAnsi"/>
                <w:color w:val="000000"/>
                <w:lang w:eastAsia="nl-BE"/>
              </w:rPr>
              <w:lastRenderedPageBreak/>
              <w:t>Provide investors with information on how orders referred to above can be made and how redemption (or repurchase) proceeds are paid</w:t>
            </w:r>
          </w:p>
        </w:tc>
        <w:tc>
          <w:tcPr>
            <w:tcW w:w="1368" w:type="pct"/>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120" w:after="0" w:line="240" w:lineRule="auto"/>
              <w:jc w:val="both"/>
              <w:rPr>
                <w:rFonts w:eastAsia="Times New Roman" w:cstheme="minorHAnsi"/>
                <w:color w:val="000000"/>
                <w:sz w:val="24"/>
                <w:szCs w:val="24"/>
                <w:lang w:eastAsia="nl-BE"/>
              </w:rPr>
            </w:pPr>
            <w:r w:rsidRPr="00490005">
              <w:rPr>
                <w:rFonts w:eastAsia="Times New Roman" w:cstheme="minorHAnsi" w:hint="eastAsia"/>
                <w:color w:val="000000"/>
                <w:sz w:val="24"/>
                <w:szCs w:val="24"/>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120" w:after="0" w:line="240" w:lineRule="auto"/>
              <w:jc w:val="both"/>
              <w:rPr>
                <w:rFonts w:eastAsia="Times New Roman" w:cstheme="minorHAnsi"/>
                <w:color w:val="000000"/>
                <w:sz w:val="24"/>
                <w:szCs w:val="24"/>
                <w:lang w:eastAsia="nl-BE"/>
              </w:rPr>
            </w:pPr>
            <w:r w:rsidRPr="00490005">
              <w:rPr>
                <w:rFonts w:eastAsia="Times New Roman" w:cstheme="minorHAnsi" w:hint="eastAsia"/>
                <w:color w:val="000000"/>
                <w:sz w:val="24"/>
                <w:szCs w:val="24"/>
                <w:lang w:eastAsia="nl-BE"/>
              </w:rPr>
              <w:t> </w:t>
            </w:r>
          </w:p>
        </w:tc>
      </w:tr>
      <w:tr w:rsidR="007D0324" w:rsidRPr="007D0324" w:rsidTr="00490005">
        <w:tc>
          <w:tcPr>
            <w:tcW w:w="1805" w:type="pct"/>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60" w:after="60" w:line="240" w:lineRule="auto"/>
              <w:rPr>
                <w:rFonts w:eastAsia="Times New Roman" w:cstheme="minorHAnsi"/>
                <w:color w:val="000000"/>
                <w:lang w:eastAsia="nl-BE"/>
              </w:rPr>
            </w:pPr>
            <w:r w:rsidRPr="00490005">
              <w:rPr>
                <w:rFonts w:eastAsia="Times New Roman" w:cstheme="minorHAnsi"/>
                <w:color w:val="000000"/>
                <w:lang w:eastAsia="nl-BE"/>
              </w:rPr>
              <w:t>Facilitate the handling of information relating to the exercise of investor</w:t>
            </w:r>
            <w:r w:rsidRPr="00490005">
              <w:rPr>
                <w:rFonts w:eastAsia="Times New Roman" w:cstheme="minorHAnsi" w:hint="eastAsia"/>
                <w:color w:val="000000"/>
                <w:lang w:eastAsia="nl-BE"/>
              </w:rPr>
              <w:t>’</w:t>
            </w:r>
            <w:r w:rsidRPr="00490005">
              <w:rPr>
                <w:rFonts w:eastAsia="Times New Roman" w:cstheme="minorHAnsi"/>
                <w:color w:val="000000"/>
                <w:lang w:eastAsia="nl-BE"/>
              </w:rPr>
              <w:t>s rights arising from their investment in the AIF</w:t>
            </w:r>
          </w:p>
        </w:tc>
        <w:tc>
          <w:tcPr>
            <w:tcW w:w="1368" w:type="pct"/>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120" w:after="0" w:line="240" w:lineRule="auto"/>
              <w:jc w:val="both"/>
              <w:rPr>
                <w:rFonts w:eastAsia="Times New Roman" w:cstheme="minorHAnsi"/>
                <w:color w:val="000000"/>
                <w:sz w:val="24"/>
                <w:szCs w:val="24"/>
                <w:lang w:eastAsia="nl-BE"/>
              </w:rPr>
            </w:pPr>
            <w:r w:rsidRPr="00490005">
              <w:rPr>
                <w:rFonts w:eastAsia="Times New Roman" w:cstheme="minorHAnsi" w:hint="eastAsia"/>
                <w:color w:val="000000"/>
                <w:sz w:val="24"/>
                <w:szCs w:val="24"/>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120" w:after="0" w:line="240" w:lineRule="auto"/>
              <w:jc w:val="both"/>
              <w:rPr>
                <w:rFonts w:eastAsia="Times New Roman" w:cstheme="minorHAnsi"/>
                <w:color w:val="000000"/>
                <w:sz w:val="24"/>
                <w:szCs w:val="24"/>
                <w:lang w:eastAsia="nl-BE"/>
              </w:rPr>
            </w:pPr>
            <w:r w:rsidRPr="00490005">
              <w:rPr>
                <w:rFonts w:eastAsia="Times New Roman" w:cstheme="minorHAnsi" w:hint="eastAsia"/>
                <w:color w:val="000000"/>
                <w:sz w:val="24"/>
                <w:szCs w:val="24"/>
                <w:lang w:eastAsia="nl-BE"/>
              </w:rPr>
              <w:t> </w:t>
            </w:r>
          </w:p>
        </w:tc>
      </w:tr>
      <w:tr w:rsidR="007D0324" w:rsidRPr="007D0324" w:rsidTr="00490005">
        <w:tc>
          <w:tcPr>
            <w:tcW w:w="1805" w:type="pct"/>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60" w:after="60" w:line="240" w:lineRule="auto"/>
              <w:rPr>
                <w:rFonts w:eastAsia="Times New Roman" w:cstheme="minorHAnsi"/>
                <w:color w:val="000000"/>
                <w:lang w:eastAsia="nl-BE"/>
              </w:rPr>
            </w:pPr>
            <w:r w:rsidRPr="00490005">
              <w:rPr>
                <w:rFonts w:eastAsia="Times New Roman" w:cstheme="minorHAnsi"/>
                <w:color w:val="000000"/>
                <w:lang w:eastAsia="nl-BE"/>
              </w:rPr>
              <w:t>Make the information and documents required pursuant to Articles</w:t>
            </w:r>
            <w:r w:rsidRPr="00490005">
              <w:rPr>
                <w:rFonts w:eastAsia="Times New Roman" w:cstheme="minorHAnsi" w:hint="eastAsia"/>
                <w:color w:val="000000"/>
                <w:lang w:eastAsia="nl-BE"/>
              </w:rPr>
              <w:t> </w:t>
            </w:r>
            <w:r w:rsidRPr="00490005">
              <w:rPr>
                <w:rFonts w:eastAsia="Times New Roman" w:cstheme="minorHAnsi"/>
                <w:color w:val="000000"/>
                <w:lang w:eastAsia="nl-BE"/>
              </w:rPr>
              <w:t>22 and</w:t>
            </w:r>
            <w:r w:rsidRPr="00490005">
              <w:rPr>
                <w:rFonts w:eastAsia="Times New Roman" w:cstheme="minorHAnsi" w:hint="eastAsia"/>
                <w:color w:val="000000"/>
                <w:lang w:eastAsia="nl-BE"/>
              </w:rPr>
              <w:t> </w:t>
            </w:r>
            <w:r w:rsidRPr="00490005">
              <w:rPr>
                <w:rFonts w:eastAsia="Times New Roman" w:cstheme="minorHAnsi"/>
                <w:color w:val="000000"/>
                <w:lang w:eastAsia="nl-BE"/>
              </w:rPr>
              <w:t>23 of Directive</w:t>
            </w:r>
            <w:r w:rsidRPr="00490005">
              <w:rPr>
                <w:rFonts w:eastAsia="Times New Roman" w:cstheme="minorHAnsi" w:hint="eastAsia"/>
                <w:color w:val="000000"/>
                <w:lang w:eastAsia="nl-BE"/>
              </w:rPr>
              <w:t> </w:t>
            </w:r>
            <w:r w:rsidRPr="00490005">
              <w:rPr>
                <w:rFonts w:eastAsia="Times New Roman" w:cstheme="minorHAnsi"/>
                <w:color w:val="000000"/>
                <w:lang w:eastAsia="nl-BE"/>
              </w:rPr>
              <w:t>2011/61/EU available to investors for the purposes of inspection and obtaining copies thereof</w:t>
            </w:r>
          </w:p>
        </w:tc>
        <w:tc>
          <w:tcPr>
            <w:tcW w:w="1368" w:type="pct"/>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120" w:after="0" w:line="240" w:lineRule="auto"/>
              <w:jc w:val="both"/>
              <w:rPr>
                <w:rFonts w:eastAsia="Times New Roman" w:cstheme="minorHAnsi"/>
                <w:color w:val="000000"/>
                <w:sz w:val="24"/>
                <w:szCs w:val="24"/>
                <w:lang w:eastAsia="nl-BE"/>
              </w:rPr>
            </w:pPr>
            <w:r w:rsidRPr="00490005">
              <w:rPr>
                <w:rFonts w:eastAsia="Times New Roman" w:cstheme="minorHAnsi" w:hint="eastAsia"/>
                <w:color w:val="000000"/>
                <w:sz w:val="24"/>
                <w:szCs w:val="24"/>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120" w:after="0" w:line="240" w:lineRule="auto"/>
              <w:jc w:val="both"/>
              <w:rPr>
                <w:rFonts w:eastAsia="Times New Roman" w:cstheme="minorHAnsi"/>
                <w:color w:val="000000"/>
                <w:sz w:val="24"/>
                <w:szCs w:val="24"/>
                <w:lang w:eastAsia="nl-BE"/>
              </w:rPr>
            </w:pPr>
            <w:r w:rsidRPr="00490005">
              <w:rPr>
                <w:rFonts w:eastAsia="Times New Roman" w:cstheme="minorHAnsi" w:hint="eastAsia"/>
                <w:color w:val="000000"/>
                <w:sz w:val="24"/>
                <w:szCs w:val="24"/>
                <w:lang w:eastAsia="nl-BE"/>
              </w:rPr>
              <w:t> </w:t>
            </w:r>
          </w:p>
        </w:tc>
      </w:tr>
      <w:tr w:rsidR="007D0324" w:rsidRPr="007D0324" w:rsidTr="00490005">
        <w:tc>
          <w:tcPr>
            <w:tcW w:w="1805" w:type="pct"/>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60" w:after="60" w:line="240" w:lineRule="auto"/>
              <w:rPr>
                <w:rFonts w:eastAsia="Times New Roman" w:cstheme="minorHAnsi"/>
                <w:color w:val="000000"/>
                <w:lang w:eastAsia="nl-BE"/>
              </w:rPr>
            </w:pPr>
            <w:r w:rsidRPr="00490005">
              <w:rPr>
                <w:rFonts w:eastAsia="Times New Roman" w:cstheme="minorHAnsi"/>
                <w:color w:val="000000"/>
                <w:lang w:eastAsia="nl-BE"/>
              </w:rPr>
              <w:t>Provide investors with information relevant to the tasks that the facilities perform in a durable medium as defined in Article</w:t>
            </w:r>
            <w:r w:rsidRPr="00490005">
              <w:rPr>
                <w:rFonts w:eastAsia="Times New Roman" w:cstheme="minorHAnsi" w:hint="eastAsia"/>
                <w:color w:val="000000"/>
                <w:lang w:eastAsia="nl-BE"/>
              </w:rPr>
              <w:t> </w:t>
            </w:r>
            <w:proofErr w:type="gramStart"/>
            <w:r w:rsidRPr="00490005">
              <w:rPr>
                <w:rFonts w:eastAsia="Times New Roman" w:cstheme="minorHAnsi"/>
                <w:color w:val="000000"/>
                <w:lang w:eastAsia="nl-BE"/>
              </w:rPr>
              <w:t>43a(</w:t>
            </w:r>
            <w:proofErr w:type="gramEnd"/>
            <w:r w:rsidRPr="00490005">
              <w:rPr>
                <w:rFonts w:eastAsia="Times New Roman" w:cstheme="minorHAnsi"/>
                <w:color w:val="000000"/>
                <w:lang w:eastAsia="nl-BE"/>
              </w:rPr>
              <w:t>1)(e) of Directive</w:t>
            </w:r>
            <w:r w:rsidRPr="00490005">
              <w:rPr>
                <w:rFonts w:eastAsia="Times New Roman" w:cstheme="minorHAnsi" w:hint="eastAsia"/>
                <w:color w:val="000000"/>
                <w:lang w:eastAsia="nl-BE"/>
              </w:rPr>
              <w:t> </w:t>
            </w:r>
            <w:r w:rsidRPr="00490005">
              <w:rPr>
                <w:rFonts w:eastAsia="Times New Roman" w:cstheme="minorHAnsi"/>
                <w:color w:val="000000"/>
                <w:lang w:eastAsia="nl-BE"/>
              </w:rPr>
              <w:t>2011/61/EU.</w:t>
            </w:r>
          </w:p>
        </w:tc>
        <w:tc>
          <w:tcPr>
            <w:tcW w:w="1368" w:type="pct"/>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120" w:after="0" w:line="240" w:lineRule="auto"/>
              <w:jc w:val="both"/>
              <w:rPr>
                <w:rFonts w:eastAsia="Times New Roman" w:cstheme="minorHAnsi"/>
                <w:color w:val="000000"/>
                <w:sz w:val="24"/>
                <w:szCs w:val="24"/>
                <w:lang w:eastAsia="nl-BE"/>
              </w:rPr>
            </w:pPr>
            <w:r w:rsidRPr="00490005">
              <w:rPr>
                <w:rFonts w:eastAsia="Times New Roman" w:cstheme="minorHAnsi" w:hint="eastAsia"/>
                <w:color w:val="000000"/>
                <w:sz w:val="24"/>
                <w:szCs w:val="24"/>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120" w:after="0" w:line="240" w:lineRule="auto"/>
              <w:jc w:val="both"/>
              <w:rPr>
                <w:rFonts w:eastAsia="Times New Roman" w:cstheme="minorHAnsi"/>
                <w:color w:val="000000"/>
                <w:sz w:val="24"/>
                <w:szCs w:val="24"/>
                <w:lang w:eastAsia="nl-BE"/>
              </w:rPr>
            </w:pPr>
            <w:r w:rsidRPr="00490005">
              <w:rPr>
                <w:rFonts w:eastAsia="Times New Roman" w:cstheme="minorHAnsi" w:hint="eastAsia"/>
                <w:color w:val="000000"/>
                <w:sz w:val="24"/>
                <w:szCs w:val="24"/>
                <w:lang w:eastAsia="nl-BE"/>
              </w:rPr>
              <w:t> </w:t>
            </w:r>
          </w:p>
        </w:tc>
      </w:tr>
      <w:tr w:rsidR="007D0324" w:rsidRPr="007D0324" w:rsidTr="00490005">
        <w:tc>
          <w:tcPr>
            <w:tcW w:w="1805" w:type="pct"/>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60" w:after="60" w:line="240" w:lineRule="auto"/>
              <w:rPr>
                <w:rFonts w:eastAsia="Times New Roman" w:cstheme="minorHAnsi"/>
                <w:color w:val="000000"/>
                <w:lang w:eastAsia="nl-BE"/>
              </w:rPr>
            </w:pPr>
            <w:r w:rsidRPr="00490005">
              <w:rPr>
                <w:rFonts w:eastAsia="Times New Roman" w:cstheme="minorHAnsi"/>
                <w:color w:val="000000"/>
                <w:lang w:eastAsia="nl-BE"/>
              </w:rPr>
              <w:t>Act as a contact point for communicating with the competent authorities</w:t>
            </w:r>
          </w:p>
        </w:tc>
        <w:tc>
          <w:tcPr>
            <w:tcW w:w="1368" w:type="pct"/>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120" w:after="0" w:line="240" w:lineRule="auto"/>
              <w:jc w:val="both"/>
              <w:rPr>
                <w:rFonts w:eastAsia="Times New Roman" w:cstheme="minorHAnsi"/>
                <w:color w:val="000000"/>
                <w:sz w:val="24"/>
                <w:szCs w:val="24"/>
                <w:lang w:eastAsia="nl-BE"/>
              </w:rPr>
            </w:pPr>
            <w:r w:rsidRPr="00490005">
              <w:rPr>
                <w:rFonts w:eastAsia="Times New Roman" w:cstheme="minorHAnsi" w:hint="eastAsia"/>
                <w:color w:val="000000"/>
                <w:sz w:val="24"/>
                <w:szCs w:val="24"/>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7D0324" w:rsidRPr="00490005" w:rsidRDefault="007D0324" w:rsidP="00DA6F50">
            <w:pPr>
              <w:spacing w:before="120" w:after="0" w:line="240" w:lineRule="auto"/>
              <w:jc w:val="both"/>
              <w:rPr>
                <w:rFonts w:eastAsia="Times New Roman" w:cstheme="minorHAnsi"/>
                <w:color w:val="000000"/>
                <w:sz w:val="24"/>
                <w:szCs w:val="24"/>
                <w:lang w:eastAsia="nl-BE"/>
              </w:rPr>
            </w:pPr>
            <w:r w:rsidRPr="00490005">
              <w:rPr>
                <w:rFonts w:eastAsia="Times New Roman" w:cstheme="minorHAnsi" w:hint="eastAsia"/>
                <w:color w:val="000000"/>
                <w:sz w:val="24"/>
                <w:szCs w:val="24"/>
                <w:lang w:eastAsia="nl-BE"/>
              </w:rPr>
              <w:t> </w:t>
            </w:r>
          </w:p>
        </w:tc>
      </w:tr>
    </w:tbl>
    <w:p w:rsidR="007D0324" w:rsidRDefault="007D0324" w:rsidP="007D0324">
      <w:pPr>
        <w:spacing w:after="120" w:line="240" w:lineRule="auto"/>
        <w:rPr>
          <w:rFonts w:ascii="Calibri" w:eastAsia="Times New Roman" w:hAnsi="Calibri" w:cs="Times New Roman"/>
          <w:lang w:eastAsia="fr-BE"/>
        </w:rPr>
      </w:pPr>
    </w:p>
    <w:p w:rsidR="007D0324" w:rsidRPr="004663A6" w:rsidRDefault="007D0324" w:rsidP="004663A6">
      <w:pPr>
        <w:rPr>
          <w:rFonts w:ascii="Calibri" w:eastAsia="Times New Roman" w:hAnsi="Calibri" w:cs="Times New Roman"/>
          <w:lang w:eastAsia="fr-BE"/>
        </w:rPr>
        <w:sectPr w:rsidR="007D0324" w:rsidRPr="004663A6" w:rsidSect="004663A6">
          <w:headerReference w:type="even" r:id="rId13"/>
          <w:headerReference w:type="default" r:id="rId14"/>
          <w:footerReference w:type="even" r:id="rId15"/>
          <w:footerReference w:type="default" r:id="rId16"/>
          <w:headerReference w:type="first" r:id="rId17"/>
          <w:footerReference w:type="first" r:id="rId18"/>
          <w:pgSz w:w="11906" w:h="16838"/>
          <w:pgMar w:top="851" w:right="851" w:bottom="567" w:left="851" w:header="709" w:footer="709" w:gutter="0"/>
          <w:cols w:space="708"/>
          <w:titlePg/>
          <w:docGrid w:linePitch="360"/>
        </w:sectPr>
      </w:pPr>
    </w:p>
    <w:p w:rsidR="009D5F24" w:rsidRPr="009D5F24" w:rsidRDefault="009D5F24" w:rsidP="009D5F24">
      <w:pPr>
        <w:keepNext/>
        <w:keepLines/>
        <w:pBdr>
          <w:top w:val="single" w:sz="12" w:space="1" w:color="33444C"/>
          <w:bottom w:val="single" w:sz="12" w:space="1" w:color="33444C"/>
        </w:pBdr>
        <w:shd w:val="clear" w:color="auto" w:fill="E0E7EA"/>
        <w:spacing w:after="0" w:line="240" w:lineRule="auto"/>
        <w:outlineLvl w:val="0"/>
        <w:rPr>
          <w:rFonts w:ascii="Calibri" w:eastAsia="Times New Roman" w:hAnsi="Calibri" w:cs="Times New Roman"/>
          <w:b/>
          <w:bCs/>
          <w:color w:val="4C6572"/>
          <w:sz w:val="24"/>
          <w:szCs w:val="24"/>
          <w:lang w:eastAsia="fr-BE"/>
        </w:rPr>
      </w:pPr>
      <w:r w:rsidRPr="009D5F24">
        <w:rPr>
          <w:rFonts w:ascii="Calibri" w:eastAsia="Times New Roman" w:hAnsi="Calibri" w:cs="Times New Roman"/>
          <w:b/>
          <w:bCs/>
          <w:color w:val="4C6572"/>
          <w:sz w:val="24"/>
          <w:szCs w:val="24"/>
          <w:lang w:eastAsia="fr-BE"/>
        </w:rPr>
        <w:lastRenderedPageBreak/>
        <w:t xml:space="preserve">3. </w:t>
      </w:r>
      <w:r w:rsidR="00685D0B">
        <w:rPr>
          <w:rFonts w:ascii="Calibri" w:eastAsia="Times New Roman" w:hAnsi="Calibri" w:cs="Times New Roman"/>
          <w:b/>
          <w:bCs/>
          <w:color w:val="4C6572"/>
          <w:sz w:val="24"/>
          <w:szCs w:val="24"/>
          <w:lang w:eastAsia="fr-BE"/>
        </w:rPr>
        <w:t xml:space="preserve">Information on the </w:t>
      </w:r>
      <w:proofErr w:type="gramStart"/>
      <w:r w:rsidR="00685D0B">
        <w:rPr>
          <w:rFonts w:ascii="Calibri" w:eastAsia="Times New Roman" w:hAnsi="Calibri" w:cs="Times New Roman"/>
          <w:b/>
          <w:bCs/>
          <w:color w:val="4C6572"/>
          <w:sz w:val="24"/>
          <w:szCs w:val="24"/>
          <w:lang w:eastAsia="fr-BE"/>
        </w:rPr>
        <w:t>AIF’s</w:t>
      </w:r>
      <w:proofErr w:type="gramEnd"/>
      <w:r w:rsidR="00685D0B">
        <w:rPr>
          <w:rFonts w:ascii="Calibri" w:eastAsia="Times New Roman" w:hAnsi="Calibri" w:cs="Times New Roman"/>
          <w:b/>
          <w:bCs/>
          <w:color w:val="4C6572"/>
          <w:sz w:val="24"/>
          <w:szCs w:val="24"/>
          <w:lang w:eastAsia="fr-BE"/>
        </w:rPr>
        <w:t xml:space="preserve"> to be marketed in the host Member State</w:t>
      </w:r>
    </w:p>
    <w:p w:rsidR="00685D0B" w:rsidRDefault="00685D0B" w:rsidP="009D5F24">
      <w:pPr>
        <w:spacing w:before="240" w:after="120" w:line="240" w:lineRule="auto"/>
        <w:contextualSpacing/>
        <w:rPr>
          <w:rFonts w:ascii="Calibri" w:eastAsia="Times New Roman" w:hAnsi="Calibri" w:cs="Arial"/>
          <w:szCs w:val="18"/>
          <w:lang w:eastAsia="fr-BE"/>
        </w:rPr>
      </w:pPr>
    </w:p>
    <w:p w:rsidR="00BC4221" w:rsidRDefault="00BC4221" w:rsidP="00490005">
      <w:pPr>
        <w:shd w:val="clear" w:color="auto" w:fill="FFFFFF"/>
        <w:spacing w:before="240" w:after="120" w:line="240" w:lineRule="auto"/>
        <w:jc w:val="both"/>
        <w:rPr>
          <w:rFonts w:eastAsia="Times New Roman" w:cstheme="minorHAnsi"/>
          <w:i/>
          <w:iCs/>
          <w:color w:val="000000"/>
          <w:lang w:eastAsia="nl-BE"/>
        </w:rPr>
      </w:pPr>
      <w:r w:rsidRPr="00490005">
        <w:rPr>
          <w:rFonts w:eastAsia="Times New Roman" w:cstheme="minorHAnsi"/>
          <w:b/>
          <w:bCs/>
          <w:color w:val="000000"/>
          <w:lang w:eastAsia="nl-BE"/>
        </w:rPr>
        <w:t>Section 1.   Identification of the AIFs</w:t>
      </w:r>
    </w:p>
    <w:p w:rsidR="00685D0B" w:rsidRPr="00490005" w:rsidRDefault="00685D0B" w:rsidP="00685D0B">
      <w:pPr>
        <w:shd w:val="clear" w:color="auto" w:fill="FFFFFF"/>
        <w:spacing w:before="120" w:after="0" w:line="240" w:lineRule="auto"/>
        <w:jc w:val="both"/>
        <w:rPr>
          <w:rFonts w:eastAsia="Times New Roman" w:cstheme="minorHAnsi"/>
          <w:color w:val="000000"/>
          <w:lang w:eastAsia="nl-BE"/>
        </w:rPr>
      </w:pPr>
      <w:r w:rsidRPr="00490005">
        <w:rPr>
          <w:rFonts w:eastAsia="Times New Roman" w:cstheme="minorHAnsi"/>
          <w:i/>
          <w:iCs/>
          <w:color w:val="000000"/>
          <w:lang w:eastAsia="nl-BE"/>
        </w:rPr>
        <w:t xml:space="preserve">Please fill the table below with information for each AIF you intend to market in the host Member State, creating a new table for each AIF and by indicating only one share class (name and ISIN) on each line. Where an AIF takes the form of an umbrella AIF with several compartments or sub-funds, references to the AIF in the table below </w:t>
      </w:r>
      <w:proofErr w:type="gramStart"/>
      <w:r w:rsidRPr="00490005">
        <w:rPr>
          <w:rFonts w:eastAsia="Times New Roman" w:cstheme="minorHAnsi"/>
          <w:i/>
          <w:iCs/>
          <w:color w:val="000000"/>
          <w:lang w:eastAsia="nl-BE"/>
        </w:rPr>
        <w:t>shall be understood</w:t>
      </w:r>
      <w:proofErr w:type="gramEnd"/>
      <w:r w:rsidRPr="00490005">
        <w:rPr>
          <w:rFonts w:eastAsia="Times New Roman" w:cstheme="minorHAnsi"/>
          <w:i/>
          <w:iCs/>
          <w:color w:val="000000"/>
          <w:lang w:eastAsia="nl-BE"/>
        </w:rPr>
        <w:t xml:space="preserve"> as referring to the compartment or sub-fund to be marketed in the host Member State and not to the umbrella AIF, which shall be identified separately in the corresponding column.</w:t>
      </w:r>
    </w:p>
    <w:p w:rsidR="00794766" w:rsidRPr="00813FDE" w:rsidRDefault="00794766" w:rsidP="00794766">
      <w:pPr>
        <w:autoSpaceDE w:val="0"/>
        <w:autoSpaceDN w:val="0"/>
        <w:adjustRightInd w:val="0"/>
        <w:spacing w:after="0" w:line="240" w:lineRule="auto"/>
        <w:rPr>
          <w:rFonts w:ascii="Arial" w:hAnsi="Arial" w:cs="Arial"/>
          <w:i/>
          <w:iCs/>
          <w:sz w:val="20"/>
        </w:rPr>
      </w:pPr>
    </w:p>
    <w:p w:rsidR="00794766" w:rsidRPr="009D5F24" w:rsidRDefault="00794766" w:rsidP="009D5F24">
      <w:pPr>
        <w:spacing w:after="120" w:line="240" w:lineRule="auto"/>
        <w:contextualSpacing/>
        <w:rPr>
          <w:rFonts w:ascii="Calibri" w:eastAsia="Times New Roman" w:hAnsi="Calibri" w:cs="Arial"/>
          <w:szCs w:val="18"/>
          <w:lang w:eastAsia="fr-B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1164"/>
        <w:gridCol w:w="818"/>
        <w:gridCol w:w="1066"/>
        <w:gridCol w:w="883"/>
        <w:gridCol w:w="933"/>
        <w:gridCol w:w="629"/>
        <w:gridCol w:w="915"/>
        <w:gridCol w:w="953"/>
        <w:gridCol w:w="975"/>
        <w:gridCol w:w="1138"/>
        <w:gridCol w:w="975"/>
        <w:gridCol w:w="1124"/>
      </w:tblGrid>
      <w:tr w:rsidR="00490005" w:rsidRPr="009D5F24" w:rsidTr="00490005">
        <w:tc>
          <w:tcPr>
            <w:tcW w:w="501" w:type="pct"/>
            <w:shd w:val="clear" w:color="auto" w:fill="auto"/>
          </w:tcPr>
          <w:p w:rsidR="00184960" w:rsidRPr="009D5F24" w:rsidRDefault="00184960" w:rsidP="00027D12">
            <w:pPr>
              <w:spacing w:after="120" w:line="240" w:lineRule="auto"/>
              <w:contextualSpacing/>
              <w:rPr>
                <w:rFonts w:ascii="Calibri" w:eastAsia="Times New Roman" w:hAnsi="Calibri" w:cs="Arial"/>
                <w:sz w:val="18"/>
                <w:szCs w:val="18"/>
                <w:lang w:eastAsia="fr-BE"/>
              </w:rPr>
            </w:pPr>
            <w:r w:rsidRPr="009D5F24">
              <w:rPr>
                <w:rFonts w:ascii="Calibri" w:eastAsia="Times New Roman" w:hAnsi="Calibri" w:cs="Arial"/>
                <w:sz w:val="18"/>
                <w:szCs w:val="18"/>
                <w:lang w:eastAsia="fr-BE"/>
              </w:rPr>
              <w:t>Name of the AIF or AIFs/or compartment(s) to be marketed in the host Member State</w:t>
            </w:r>
          </w:p>
        </w:tc>
        <w:tc>
          <w:tcPr>
            <w:tcW w:w="434" w:type="pct"/>
          </w:tcPr>
          <w:p w:rsidR="00184960" w:rsidRPr="009D5F24" w:rsidRDefault="00184960" w:rsidP="009D5F24">
            <w:pPr>
              <w:spacing w:after="120" w:line="240" w:lineRule="auto"/>
              <w:contextualSpacing/>
              <w:rPr>
                <w:rFonts w:ascii="Calibri" w:eastAsia="Times New Roman" w:hAnsi="Calibri" w:cs="Arial"/>
                <w:sz w:val="18"/>
                <w:szCs w:val="18"/>
                <w:lang w:eastAsia="fr-BE"/>
              </w:rPr>
            </w:pPr>
            <w:r>
              <w:rPr>
                <w:rFonts w:ascii="Calibri" w:eastAsia="Times New Roman" w:hAnsi="Calibri" w:cs="Arial"/>
                <w:sz w:val="18"/>
                <w:szCs w:val="18"/>
                <w:lang w:eastAsia="fr-BE"/>
              </w:rPr>
              <w:t>Date of incorporation or constitution on the AIF</w:t>
            </w:r>
          </w:p>
        </w:tc>
        <w:tc>
          <w:tcPr>
            <w:tcW w:w="304" w:type="pct"/>
            <w:shd w:val="clear" w:color="auto" w:fill="auto"/>
          </w:tcPr>
          <w:p w:rsidR="00184960" w:rsidRPr="009D5F24" w:rsidRDefault="00184960" w:rsidP="009D5F24">
            <w:pPr>
              <w:spacing w:after="120" w:line="240" w:lineRule="auto"/>
              <w:contextualSpacing/>
              <w:rPr>
                <w:rFonts w:ascii="Calibri" w:eastAsia="Times New Roman" w:hAnsi="Calibri" w:cs="Arial"/>
                <w:sz w:val="18"/>
                <w:szCs w:val="18"/>
                <w:lang w:eastAsia="fr-BE"/>
              </w:rPr>
            </w:pPr>
            <w:r w:rsidRPr="009D5F24">
              <w:rPr>
                <w:rFonts w:ascii="Calibri" w:eastAsia="Times New Roman" w:hAnsi="Calibri" w:cs="Arial"/>
                <w:sz w:val="18"/>
                <w:szCs w:val="18"/>
                <w:lang w:eastAsia="fr-BE"/>
              </w:rPr>
              <w:t>AIF home Member State</w:t>
            </w:r>
          </w:p>
        </w:tc>
        <w:tc>
          <w:tcPr>
            <w:tcW w:w="398" w:type="pct"/>
            <w:shd w:val="clear" w:color="auto" w:fill="auto"/>
          </w:tcPr>
          <w:p w:rsidR="00184960" w:rsidRPr="009D5F24" w:rsidRDefault="00184960" w:rsidP="009D5F24">
            <w:pPr>
              <w:spacing w:after="120" w:line="240" w:lineRule="auto"/>
              <w:contextualSpacing/>
              <w:rPr>
                <w:rFonts w:ascii="Calibri" w:eastAsia="Times New Roman" w:hAnsi="Calibri" w:cs="Arial"/>
                <w:sz w:val="18"/>
                <w:szCs w:val="18"/>
                <w:lang w:eastAsia="fr-BE"/>
              </w:rPr>
            </w:pPr>
            <w:r w:rsidRPr="009D5F24">
              <w:rPr>
                <w:rFonts w:ascii="Calibri" w:eastAsia="Times New Roman" w:hAnsi="Calibri" w:cs="Arial"/>
                <w:sz w:val="18"/>
                <w:szCs w:val="18"/>
                <w:lang w:eastAsia="fr-BE"/>
              </w:rPr>
              <w:t>Legal form (common fund, unit trust, investment company, partnership, other (please specify))</w:t>
            </w:r>
          </w:p>
        </w:tc>
        <w:tc>
          <w:tcPr>
            <w:tcW w:w="328" w:type="pct"/>
          </w:tcPr>
          <w:p w:rsidR="00184960" w:rsidRPr="009D5F24" w:rsidRDefault="00184960" w:rsidP="009D5F24">
            <w:pPr>
              <w:spacing w:after="120" w:line="240" w:lineRule="auto"/>
              <w:contextualSpacing/>
              <w:rPr>
                <w:rFonts w:ascii="Calibri" w:eastAsia="Times New Roman" w:hAnsi="Calibri" w:cs="Arial"/>
                <w:sz w:val="18"/>
                <w:szCs w:val="18"/>
                <w:lang w:eastAsia="fr-BE"/>
              </w:rPr>
            </w:pPr>
            <w:r>
              <w:rPr>
                <w:rFonts w:ascii="Calibri" w:eastAsia="Times New Roman" w:hAnsi="Calibri" w:cs="Arial"/>
                <w:sz w:val="18"/>
                <w:szCs w:val="18"/>
                <w:lang w:eastAsia="fr-BE"/>
              </w:rPr>
              <w:t>LEI of the AIF (where available)</w:t>
            </w:r>
          </w:p>
        </w:tc>
        <w:tc>
          <w:tcPr>
            <w:tcW w:w="347" w:type="pct"/>
          </w:tcPr>
          <w:p w:rsidR="00184960" w:rsidRPr="009D5F24" w:rsidRDefault="00184960" w:rsidP="009D5F24">
            <w:pPr>
              <w:spacing w:after="120" w:line="240" w:lineRule="auto"/>
              <w:contextualSpacing/>
              <w:rPr>
                <w:rFonts w:ascii="Calibri" w:eastAsia="Times New Roman" w:hAnsi="Calibri" w:cs="Arial"/>
                <w:sz w:val="18"/>
                <w:szCs w:val="18"/>
                <w:lang w:eastAsia="fr-BE"/>
              </w:rPr>
            </w:pPr>
            <w:r>
              <w:rPr>
                <w:rFonts w:ascii="Calibri" w:eastAsia="Times New Roman" w:hAnsi="Calibri" w:cs="Arial"/>
                <w:sz w:val="18"/>
                <w:szCs w:val="18"/>
                <w:lang w:eastAsia="fr-BE"/>
              </w:rPr>
              <w:t>Marketing to retail investors</w:t>
            </w:r>
            <w:r>
              <w:rPr>
                <w:rStyle w:val="FootnoteReference"/>
                <w:rFonts w:ascii="Calibri" w:eastAsia="Times New Roman" w:hAnsi="Calibri" w:cs="Arial"/>
                <w:sz w:val="18"/>
                <w:szCs w:val="18"/>
                <w:lang w:eastAsia="fr-BE"/>
              </w:rPr>
              <w:footnoteReference w:id="4"/>
            </w:r>
          </w:p>
        </w:tc>
        <w:tc>
          <w:tcPr>
            <w:tcW w:w="233" w:type="pct"/>
          </w:tcPr>
          <w:p w:rsidR="00184960" w:rsidRPr="009D5F24" w:rsidRDefault="00184960" w:rsidP="009D5F24">
            <w:pPr>
              <w:spacing w:after="120" w:line="240" w:lineRule="auto"/>
              <w:contextualSpacing/>
              <w:rPr>
                <w:rFonts w:ascii="Calibri" w:eastAsia="Times New Roman" w:hAnsi="Calibri" w:cs="Arial"/>
                <w:sz w:val="18"/>
                <w:szCs w:val="18"/>
                <w:lang w:eastAsia="fr-BE"/>
              </w:rPr>
            </w:pPr>
            <w:r w:rsidRPr="00490005">
              <w:rPr>
                <w:rFonts w:ascii="Calibri" w:eastAsia="Times New Roman" w:hAnsi="Calibri" w:cs="Arial"/>
                <w:sz w:val="18"/>
                <w:szCs w:val="18"/>
                <w:lang w:eastAsia="fr-BE"/>
              </w:rPr>
              <w:t>Name of each share class of the AIF</w:t>
            </w:r>
          </w:p>
        </w:tc>
        <w:tc>
          <w:tcPr>
            <w:tcW w:w="341" w:type="pct"/>
          </w:tcPr>
          <w:p w:rsidR="00184960" w:rsidRPr="009D5F24" w:rsidRDefault="00184960" w:rsidP="009D5F24">
            <w:pPr>
              <w:spacing w:after="120" w:line="240" w:lineRule="auto"/>
              <w:contextualSpacing/>
              <w:rPr>
                <w:rFonts w:ascii="Calibri" w:eastAsia="Times New Roman" w:hAnsi="Calibri" w:cs="Arial"/>
                <w:sz w:val="18"/>
                <w:szCs w:val="18"/>
                <w:lang w:eastAsia="fr-BE"/>
              </w:rPr>
            </w:pPr>
            <w:r w:rsidRPr="00490005">
              <w:rPr>
                <w:rFonts w:ascii="Calibri" w:eastAsia="Times New Roman" w:hAnsi="Calibri" w:cs="Arial"/>
                <w:sz w:val="18"/>
                <w:szCs w:val="18"/>
                <w:lang w:eastAsia="fr-BE"/>
              </w:rPr>
              <w:t>ISIN of the AIF/of each share class of the AIF (where available)</w:t>
            </w:r>
          </w:p>
        </w:tc>
        <w:tc>
          <w:tcPr>
            <w:tcW w:w="355" w:type="pct"/>
          </w:tcPr>
          <w:p w:rsidR="00184960" w:rsidRPr="009D5F24" w:rsidRDefault="00184960" w:rsidP="009D5F24">
            <w:pPr>
              <w:spacing w:after="120" w:line="240" w:lineRule="auto"/>
              <w:contextualSpacing/>
              <w:rPr>
                <w:rFonts w:ascii="Calibri" w:eastAsia="Times New Roman" w:hAnsi="Calibri" w:cs="Arial"/>
                <w:sz w:val="18"/>
                <w:szCs w:val="18"/>
                <w:lang w:eastAsia="fr-BE"/>
              </w:rPr>
            </w:pPr>
            <w:r w:rsidRPr="009D5F24">
              <w:rPr>
                <w:rFonts w:ascii="Calibri" w:eastAsia="Times New Roman" w:hAnsi="Calibri" w:cs="Arial"/>
                <w:sz w:val="18"/>
                <w:szCs w:val="18"/>
                <w:lang w:eastAsia="fr-BE"/>
              </w:rPr>
              <w:t>Name of the depositary of the AIF</w:t>
            </w:r>
            <w:r w:rsidRPr="009D5F24">
              <w:rPr>
                <w:rFonts w:ascii="Calibri" w:eastAsia="Times New Roman" w:hAnsi="Calibri" w:cs="Arial"/>
                <w:sz w:val="18"/>
                <w:szCs w:val="18"/>
                <w:vertAlign w:val="superscript"/>
                <w:lang w:eastAsia="fr-BE"/>
              </w:rPr>
              <w:footnoteReference w:id="5"/>
            </w:r>
          </w:p>
        </w:tc>
        <w:tc>
          <w:tcPr>
            <w:tcW w:w="519" w:type="pct"/>
            <w:shd w:val="clear" w:color="auto" w:fill="auto"/>
          </w:tcPr>
          <w:p w:rsidR="00184960" w:rsidRPr="00490005" w:rsidRDefault="00184960" w:rsidP="00490005">
            <w:pPr>
              <w:spacing w:after="120" w:line="240" w:lineRule="auto"/>
              <w:contextualSpacing/>
              <w:rPr>
                <w:rFonts w:ascii="Calibri" w:eastAsia="Times New Roman" w:hAnsi="Calibri" w:cs="Arial"/>
                <w:sz w:val="18"/>
                <w:szCs w:val="18"/>
                <w:lang w:eastAsia="fr-BE"/>
              </w:rPr>
            </w:pPr>
            <w:r w:rsidRPr="00490005">
              <w:rPr>
                <w:rFonts w:ascii="Calibri" w:eastAsia="Times New Roman" w:hAnsi="Calibri" w:cs="Arial"/>
                <w:sz w:val="18"/>
                <w:szCs w:val="18"/>
                <w:lang w:eastAsia="fr-BE"/>
              </w:rPr>
              <w:t>Duration of the AIF</w:t>
            </w:r>
          </w:p>
          <w:p w:rsidR="00184960" w:rsidRPr="009D5F24" w:rsidRDefault="00184960" w:rsidP="00184960">
            <w:pPr>
              <w:spacing w:after="120" w:line="240" w:lineRule="auto"/>
              <w:contextualSpacing/>
              <w:rPr>
                <w:rFonts w:ascii="Calibri" w:eastAsia="Times New Roman" w:hAnsi="Calibri" w:cs="Arial"/>
                <w:sz w:val="18"/>
                <w:szCs w:val="18"/>
                <w:lang w:eastAsia="fr-BE"/>
              </w:rPr>
            </w:pPr>
            <w:r w:rsidRPr="00490005">
              <w:rPr>
                <w:rFonts w:ascii="Calibri" w:eastAsia="Times New Roman" w:hAnsi="Calibri" w:cs="Arial"/>
                <w:sz w:val="18"/>
                <w:szCs w:val="18"/>
                <w:lang w:eastAsia="fr-BE"/>
              </w:rPr>
              <w:t>(where applicable)</w:t>
            </w:r>
          </w:p>
        </w:tc>
        <w:tc>
          <w:tcPr>
            <w:tcW w:w="486" w:type="pct"/>
            <w:shd w:val="clear" w:color="auto" w:fill="auto"/>
          </w:tcPr>
          <w:p w:rsidR="00184960" w:rsidRPr="00490005" w:rsidRDefault="00184960" w:rsidP="00490005">
            <w:pPr>
              <w:spacing w:after="120" w:line="240" w:lineRule="auto"/>
              <w:contextualSpacing/>
              <w:rPr>
                <w:rFonts w:ascii="Calibri" w:eastAsia="Times New Roman" w:hAnsi="Calibri" w:cs="Arial"/>
                <w:sz w:val="18"/>
                <w:szCs w:val="18"/>
                <w:lang w:eastAsia="fr-BE"/>
              </w:rPr>
            </w:pPr>
            <w:r w:rsidRPr="00490005">
              <w:rPr>
                <w:rFonts w:ascii="Calibri" w:eastAsia="Times New Roman" w:hAnsi="Calibri" w:cs="Arial"/>
                <w:sz w:val="18"/>
                <w:szCs w:val="18"/>
                <w:lang w:eastAsia="fr-BE"/>
              </w:rPr>
              <w:t>AIF national identification code</w:t>
            </w:r>
          </w:p>
          <w:p w:rsidR="00184960" w:rsidRPr="009D5F24" w:rsidRDefault="00184960" w:rsidP="00184960">
            <w:pPr>
              <w:spacing w:after="120" w:line="240" w:lineRule="auto"/>
              <w:contextualSpacing/>
              <w:rPr>
                <w:rFonts w:ascii="Calibri" w:eastAsia="Times New Roman" w:hAnsi="Calibri" w:cs="Arial"/>
                <w:sz w:val="18"/>
                <w:szCs w:val="18"/>
                <w:lang w:eastAsia="fr-BE"/>
              </w:rPr>
            </w:pPr>
            <w:r w:rsidRPr="00490005">
              <w:rPr>
                <w:rFonts w:ascii="Calibri" w:eastAsia="Times New Roman" w:hAnsi="Calibri" w:cs="Arial"/>
                <w:sz w:val="18"/>
                <w:szCs w:val="18"/>
                <w:lang w:eastAsia="fr-BE"/>
              </w:rPr>
              <w:t>(where available)</w:t>
            </w:r>
          </w:p>
        </w:tc>
        <w:tc>
          <w:tcPr>
            <w:tcW w:w="334" w:type="pct"/>
          </w:tcPr>
          <w:p w:rsidR="00184960" w:rsidRPr="009D5F24" w:rsidRDefault="00236224" w:rsidP="009D5F24">
            <w:pPr>
              <w:spacing w:after="120" w:line="240" w:lineRule="auto"/>
              <w:contextualSpacing/>
              <w:rPr>
                <w:rFonts w:ascii="Calibri" w:eastAsia="Times New Roman" w:hAnsi="Calibri" w:cs="Arial"/>
                <w:sz w:val="18"/>
                <w:szCs w:val="18"/>
                <w:lang w:eastAsia="fr-BE"/>
              </w:rPr>
            </w:pPr>
            <w:r w:rsidRPr="00490005">
              <w:rPr>
                <w:rFonts w:ascii="Calibri" w:eastAsia="Times New Roman" w:hAnsi="Calibri" w:cs="Arial"/>
                <w:sz w:val="18"/>
                <w:szCs w:val="18"/>
                <w:lang w:eastAsia="fr-BE"/>
              </w:rPr>
              <w:t>Name of the umbrella AIF (where applicable)</w:t>
            </w:r>
          </w:p>
        </w:tc>
        <w:tc>
          <w:tcPr>
            <w:tcW w:w="419" w:type="pct"/>
            <w:shd w:val="clear" w:color="auto" w:fill="auto"/>
          </w:tcPr>
          <w:p w:rsidR="00184960" w:rsidRPr="009D5F24" w:rsidRDefault="00184960" w:rsidP="009D5F24">
            <w:pPr>
              <w:spacing w:after="120" w:line="240" w:lineRule="auto"/>
              <w:contextualSpacing/>
              <w:rPr>
                <w:rFonts w:ascii="Calibri" w:eastAsia="Times New Roman" w:hAnsi="Calibri" w:cs="Arial"/>
                <w:sz w:val="18"/>
                <w:szCs w:val="18"/>
                <w:lang w:eastAsia="fr-BE"/>
              </w:rPr>
            </w:pPr>
            <w:r w:rsidRPr="009D5F24">
              <w:rPr>
                <w:rFonts w:ascii="Calibri" w:eastAsia="Times New Roman" w:hAnsi="Calibri" w:cs="Arial"/>
                <w:sz w:val="18"/>
                <w:szCs w:val="18"/>
                <w:lang w:eastAsia="fr-BE"/>
              </w:rPr>
              <w:t>AIF’s investment strategy</w:t>
            </w:r>
            <w:r w:rsidR="00236224">
              <w:rPr>
                <w:rStyle w:val="FootnoteReference"/>
                <w:rFonts w:ascii="Calibri" w:eastAsia="Times New Roman" w:hAnsi="Calibri" w:cs="Arial"/>
                <w:sz w:val="18"/>
                <w:szCs w:val="18"/>
                <w:lang w:eastAsia="fr-BE"/>
              </w:rPr>
              <w:footnoteReference w:id="6"/>
            </w:r>
            <w:r w:rsidRPr="009D5F24">
              <w:rPr>
                <w:rFonts w:ascii="Calibri" w:eastAsia="Times New Roman" w:hAnsi="Calibri" w:cs="Arial"/>
                <w:sz w:val="18"/>
                <w:szCs w:val="18"/>
                <w:lang w:eastAsia="fr-BE"/>
              </w:rPr>
              <w:t xml:space="preserve"> (please specify the predominant AIF and the breakdown by investment strategies as set out in the reporting template included in Regulation 231/2013)</w:t>
            </w:r>
          </w:p>
        </w:tc>
      </w:tr>
      <w:tr w:rsidR="00490005" w:rsidRPr="009D5F24" w:rsidTr="00490005">
        <w:tc>
          <w:tcPr>
            <w:tcW w:w="501" w:type="pct"/>
            <w:shd w:val="clear" w:color="auto" w:fill="auto"/>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434" w:type="pct"/>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304" w:type="pct"/>
            <w:shd w:val="clear" w:color="auto" w:fill="auto"/>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398" w:type="pct"/>
            <w:shd w:val="clear" w:color="auto" w:fill="auto"/>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328" w:type="pct"/>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347" w:type="pct"/>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233" w:type="pct"/>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341" w:type="pct"/>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355" w:type="pct"/>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519" w:type="pct"/>
            <w:shd w:val="clear" w:color="auto" w:fill="auto"/>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486" w:type="pct"/>
            <w:shd w:val="clear" w:color="auto" w:fill="auto"/>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334" w:type="pct"/>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419" w:type="pct"/>
            <w:shd w:val="clear" w:color="auto" w:fill="auto"/>
          </w:tcPr>
          <w:p w:rsidR="00184960" w:rsidRPr="009D5F24" w:rsidRDefault="00184960" w:rsidP="009D5F24">
            <w:pPr>
              <w:spacing w:after="120" w:line="240" w:lineRule="auto"/>
              <w:contextualSpacing/>
              <w:rPr>
                <w:rFonts w:ascii="Calibri" w:eastAsia="Times New Roman" w:hAnsi="Calibri" w:cs="Arial"/>
                <w:szCs w:val="18"/>
                <w:lang w:eastAsia="fr-BE"/>
              </w:rPr>
            </w:pPr>
          </w:p>
        </w:tc>
      </w:tr>
      <w:tr w:rsidR="00490005" w:rsidRPr="009D5F24" w:rsidTr="00490005">
        <w:tc>
          <w:tcPr>
            <w:tcW w:w="501" w:type="pct"/>
            <w:shd w:val="clear" w:color="auto" w:fill="auto"/>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434" w:type="pct"/>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304" w:type="pct"/>
            <w:shd w:val="clear" w:color="auto" w:fill="auto"/>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398" w:type="pct"/>
            <w:shd w:val="clear" w:color="auto" w:fill="auto"/>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328" w:type="pct"/>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347" w:type="pct"/>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233" w:type="pct"/>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341" w:type="pct"/>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355" w:type="pct"/>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519" w:type="pct"/>
            <w:shd w:val="clear" w:color="auto" w:fill="auto"/>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486" w:type="pct"/>
            <w:shd w:val="clear" w:color="auto" w:fill="auto"/>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334" w:type="pct"/>
          </w:tcPr>
          <w:p w:rsidR="00184960" w:rsidRPr="009D5F24" w:rsidRDefault="00184960" w:rsidP="009D5F24">
            <w:pPr>
              <w:spacing w:after="120" w:line="240" w:lineRule="auto"/>
              <w:contextualSpacing/>
              <w:rPr>
                <w:rFonts w:ascii="Calibri" w:eastAsia="Times New Roman" w:hAnsi="Calibri" w:cs="Arial"/>
                <w:szCs w:val="18"/>
                <w:lang w:eastAsia="fr-BE"/>
              </w:rPr>
            </w:pPr>
          </w:p>
        </w:tc>
        <w:tc>
          <w:tcPr>
            <w:tcW w:w="419" w:type="pct"/>
            <w:shd w:val="clear" w:color="auto" w:fill="auto"/>
          </w:tcPr>
          <w:p w:rsidR="00184960" w:rsidRPr="009D5F24" w:rsidRDefault="00184960" w:rsidP="009D5F24">
            <w:pPr>
              <w:spacing w:after="120" w:line="240" w:lineRule="auto"/>
              <w:contextualSpacing/>
              <w:rPr>
                <w:rFonts w:ascii="Calibri" w:eastAsia="Times New Roman" w:hAnsi="Calibri" w:cs="Arial"/>
                <w:szCs w:val="18"/>
                <w:lang w:eastAsia="fr-BE"/>
              </w:rPr>
            </w:pPr>
          </w:p>
        </w:tc>
      </w:tr>
    </w:tbl>
    <w:p w:rsidR="009D5F24" w:rsidRPr="009D5F24" w:rsidRDefault="009D5F24" w:rsidP="009D5F24">
      <w:pPr>
        <w:spacing w:after="120" w:line="240" w:lineRule="auto"/>
        <w:rPr>
          <w:rFonts w:ascii="Calibri" w:eastAsia="Times New Roman" w:hAnsi="Calibri" w:cs="Times New Roman"/>
          <w:lang w:eastAsia="fr-BE"/>
        </w:rPr>
      </w:pPr>
    </w:p>
    <w:p w:rsidR="00BC4221" w:rsidRDefault="00BC4221" w:rsidP="00BC4221">
      <w:pPr>
        <w:shd w:val="clear" w:color="auto" w:fill="FFFFFF"/>
        <w:spacing w:before="120" w:after="0" w:line="240" w:lineRule="auto"/>
        <w:jc w:val="both"/>
        <w:rPr>
          <w:rFonts w:eastAsia="Times New Roman" w:cstheme="minorHAnsi"/>
          <w:color w:val="000000"/>
          <w:lang w:eastAsia="nl-BE"/>
        </w:rPr>
      </w:pPr>
      <w:r w:rsidRPr="00490005">
        <w:rPr>
          <w:rFonts w:eastAsia="Times New Roman" w:cstheme="minorHAnsi"/>
          <w:color w:val="000000"/>
          <w:lang w:eastAsia="nl-BE"/>
        </w:rPr>
        <w:t>Master-feeder structures (if applicable):</w:t>
      </w:r>
    </w:p>
    <w:p w:rsidR="00BC4221" w:rsidRPr="00490005" w:rsidRDefault="00BC4221" w:rsidP="00BC4221">
      <w:pPr>
        <w:shd w:val="clear" w:color="auto" w:fill="FFFFFF"/>
        <w:spacing w:before="120" w:after="0" w:line="240" w:lineRule="auto"/>
        <w:jc w:val="both"/>
        <w:rPr>
          <w:rFonts w:eastAsia="Times New Roman" w:cstheme="minorHAnsi"/>
          <w:color w:val="000000"/>
          <w:lang w:eastAsia="nl-BE"/>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710"/>
        <w:gridCol w:w="1836"/>
        <w:gridCol w:w="21"/>
        <w:gridCol w:w="2659"/>
        <w:gridCol w:w="3013"/>
        <w:gridCol w:w="1823"/>
        <w:gridCol w:w="1847"/>
      </w:tblGrid>
      <w:tr w:rsidR="00BC4221" w:rsidRPr="00BC4221" w:rsidTr="00490005">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490005">
            <w:pPr>
              <w:spacing w:before="60" w:after="60" w:line="240" w:lineRule="auto"/>
              <w:ind w:right="195"/>
              <w:rPr>
                <w:rFonts w:eastAsia="Times New Roman" w:cstheme="minorHAnsi"/>
                <w:bCs/>
                <w:color w:val="000000"/>
                <w:sz w:val="18"/>
                <w:szCs w:val="18"/>
                <w:lang w:eastAsia="nl-BE"/>
              </w:rPr>
            </w:pPr>
            <w:r w:rsidRPr="00490005">
              <w:rPr>
                <w:rFonts w:eastAsia="Times New Roman" w:cstheme="minorHAnsi"/>
                <w:bCs/>
                <w:color w:val="000000"/>
                <w:sz w:val="18"/>
                <w:szCs w:val="18"/>
                <w:lang w:eastAsia="nl-BE"/>
              </w:rPr>
              <w:t>Name of the master AIF or compartment(s)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490005">
            <w:pPr>
              <w:spacing w:before="60" w:after="60" w:line="240" w:lineRule="auto"/>
              <w:ind w:right="195"/>
              <w:rPr>
                <w:rFonts w:eastAsia="Times New Roman" w:cstheme="minorHAnsi"/>
                <w:bCs/>
                <w:color w:val="000000"/>
                <w:sz w:val="18"/>
                <w:szCs w:val="18"/>
                <w:lang w:eastAsia="nl-BE"/>
              </w:rPr>
            </w:pPr>
            <w:r w:rsidRPr="00490005">
              <w:rPr>
                <w:rFonts w:eastAsia="Times New Roman" w:cstheme="minorHAnsi"/>
                <w:bCs/>
                <w:color w:val="000000"/>
                <w:sz w:val="18"/>
                <w:szCs w:val="18"/>
                <w:lang w:eastAsia="nl-BE"/>
              </w:rPr>
              <w:t>LEI of master AIF or compartment(s) (where available)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BC4221" w:rsidRPr="00490005" w:rsidRDefault="00BC4221" w:rsidP="00490005">
            <w:pPr>
              <w:spacing w:before="60" w:after="60" w:line="240" w:lineRule="auto"/>
              <w:ind w:right="195"/>
              <w:rPr>
                <w:rFonts w:eastAsia="Times New Roman" w:cstheme="minorHAnsi"/>
                <w:bCs/>
                <w:color w:val="000000"/>
                <w:sz w:val="18"/>
                <w:szCs w:val="18"/>
                <w:lang w:eastAsia="nl-BE"/>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490005">
            <w:pPr>
              <w:spacing w:before="60" w:after="60" w:line="240" w:lineRule="auto"/>
              <w:ind w:right="195"/>
              <w:rPr>
                <w:rFonts w:eastAsia="Times New Roman" w:cstheme="minorHAnsi"/>
                <w:bCs/>
                <w:color w:val="000000"/>
                <w:sz w:val="18"/>
                <w:szCs w:val="18"/>
                <w:lang w:eastAsia="nl-BE"/>
              </w:rPr>
            </w:pPr>
            <w:r w:rsidRPr="00490005">
              <w:rPr>
                <w:rFonts w:eastAsia="Times New Roman" w:cstheme="minorHAnsi"/>
                <w:bCs/>
                <w:color w:val="000000"/>
                <w:sz w:val="18"/>
                <w:szCs w:val="18"/>
                <w:lang w:eastAsia="nl-BE"/>
              </w:rPr>
              <w:t>AIFM of the master</w:t>
            </w:r>
            <w:r w:rsidRPr="00490005">
              <w:rPr>
                <w:rFonts w:eastAsia="Times New Roman" w:cstheme="minorHAnsi" w:hint="eastAsia"/>
                <w:bCs/>
                <w:color w:val="000000"/>
                <w:sz w:val="18"/>
                <w:szCs w:val="18"/>
                <w:lang w:eastAsia="nl-BE"/>
              </w:rPr>
              <w:t> </w:t>
            </w:r>
            <w:r w:rsidRPr="00490005">
              <w:rPr>
                <w:rFonts w:eastAsia="Times New Roman" w:cstheme="minorHAnsi"/>
                <w:bCs/>
                <w:color w:val="000000"/>
                <w:sz w:val="18"/>
                <w:szCs w:val="18"/>
                <w:lang w:eastAsia="nl-BE"/>
              </w:rPr>
              <w:t>AIF/compartment (where different from the AIF</w:t>
            </w:r>
            <w:r w:rsidRPr="00490005">
              <w:rPr>
                <w:rFonts w:eastAsia="Times New Roman" w:cstheme="minorHAnsi" w:hint="eastAsia"/>
                <w:bCs/>
                <w:color w:val="000000"/>
                <w:sz w:val="18"/>
                <w:szCs w:val="18"/>
                <w:lang w:eastAsia="nl-BE"/>
              </w:rPr>
              <w:t>’</w:t>
            </w:r>
            <w:r w:rsidRPr="00490005">
              <w:rPr>
                <w:rFonts w:eastAsia="Times New Roman" w:cstheme="minorHAnsi"/>
                <w:bCs/>
                <w:color w:val="000000"/>
                <w:sz w:val="18"/>
                <w:szCs w:val="18"/>
                <w:lang w:eastAsia="nl-BE"/>
              </w:rPr>
              <w:t>s AIFM)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490005">
            <w:pPr>
              <w:spacing w:before="60" w:after="60" w:line="240" w:lineRule="auto"/>
              <w:ind w:right="195"/>
              <w:rPr>
                <w:rFonts w:eastAsia="Times New Roman" w:cstheme="minorHAnsi"/>
                <w:bCs/>
                <w:color w:val="000000"/>
                <w:sz w:val="18"/>
                <w:szCs w:val="18"/>
                <w:lang w:eastAsia="nl-BE"/>
              </w:rPr>
            </w:pPr>
            <w:r w:rsidRPr="00490005">
              <w:rPr>
                <w:rFonts w:eastAsia="Times New Roman" w:cstheme="minorHAnsi"/>
                <w:bCs/>
                <w:color w:val="000000"/>
                <w:sz w:val="18"/>
                <w:szCs w:val="18"/>
                <w:lang w:eastAsia="nl-BE"/>
              </w:rPr>
              <w:t>LEI of the AIFM of the master</w:t>
            </w:r>
            <w:r w:rsidRPr="00490005">
              <w:rPr>
                <w:rFonts w:eastAsia="Times New Roman" w:cstheme="minorHAnsi" w:hint="eastAsia"/>
                <w:bCs/>
                <w:color w:val="000000"/>
                <w:sz w:val="18"/>
                <w:szCs w:val="18"/>
                <w:lang w:eastAsia="nl-BE"/>
              </w:rPr>
              <w:t> </w:t>
            </w:r>
            <w:r w:rsidRPr="00490005">
              <w:rPr>
                <w:rFonts w:eastAsia="Times New Roman" w:cstheme="minorHAnsi"/>
                <w:bCs/>
                <w:color w:val="000000"/>
                <w:sz w:val="18"/>
                <w:szCs w:val="18"/>
                <w:lang w:eastAsia="nl-BE"/>
              </w:rPr>
              <w:t>AIF/compartment (where different from the AIF</w:t>
            </w:r>
            <w:r w:rsidRPr="00490005">
              <w:rPr>
                <w:rFonts w:eastAsia="Times New Roman" w:cstheme="minorHAnsi" w:hint="eastAsia"/>
                <w:bCs/>
                <w:color w:val="000000"/>
                <w:sz w:val="18"/>
                <w:szCs w:val="18"/>
                <w:lang w:eastAsia="nl-BE"/>
              </w:rPr>
              <w:t>’</w:t>
            </w:r>
            <w:r w:rsidRPr="00490005">
              <w:rPr>
                <w:rFonts w:eastAsia="Times New Roman" w:cstheme="minorHAnsi"/>
                <w:bCs/>
                <w:color w:val="000000"/>
                <w:sz w:val="18"/>
                <w:szCs w:val="18"/>
                <w:lang w:eastAsia="nl-BE"/>
              </w:rPr>
              <w:t>s AIFM and where available)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490005">
            <w:pPr>
              <w:spacing w:before="60" w:after="60" w:line="240" w:lineRule="auto"/>
              <w:ind w:right="195"/>
              <w:rPr>
                <w:rFonts w:eastAsia="Times New Roman" w:cstheme="minorHAnsi"/>
                <w:bCs/>
                <w:color w:val="000000"/>
                <w:sz w:val="18"/>
                <w:szCs w:val="18"/>
                <w:lang w:eastAsia="nl-BE"/>
              </w:rPr>
            </w:pPr>
            <w:r w:rsidRPr="00490005">
              <w:rPr>
                <w:rFonts w:eastAsia="Times New Roman" w:cstheme="minorHAnsi"/>
                <w:bCs/>
                <w:color w:val="000000"/>
                <w:sz w:val="18"/>
                <w:szCs w:val="18"/>
                <w:lang w:eastAsia="nl-BE"/>
              </w:rPr>
              <w:t>Home Member State of the master AIF (where different from the AIF</w:t>
            </w:r>
            <w:r w:rsidRPr="00490005">
              <w:rPr>
                <w:rFonts w:eastAsia="Times New Roman" w:cstheme="minorHAnsi" w:hint="eastAsia"/>
                <w:bCs/>
                <w:color w:val="000000"/>
                <w:sz w:val="18"/>
                <w:szCs w:val="18"/>
                <w:lang w:eastAsia="nl-BE"/>
              </w:rPr>
              <w:t>’</w:t>
            </w:r>
            <w:r w:rsidRPr="00490005">
              <w:rPr>
                <w:rFonts w:eastAsia="Times New Roman" w:cstheme="minorHAnsi"/>
                <w:bCs/>
                <w:color w:val="000000"/>
                <w:sz w:val="18"/>
                <w:szCs w:val="18"/>
                <w:lang w:eastAsia="nl-BE"/>
              </w:rPr>
              <w:t>s home Member State)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490005">
            <w:pPr>
              <w:spacing w:before="60" w:after="60" w:line="240" w:lineRule="auto"/>
              <w:ind w:right="195"/>
              <w:rPr>
                <w:rFonts w:eastAsia="Times New Roman" w:cstheme="minorHAnsi"/>
                <w:bCs/>
                <w:color w:val="000000"/>
                <w:sz w:val="18"/>
                <w:szCs w:val="18"/>
                <w:lang w:eastAsia="nl-BE"/>
              </w:rPr>
            </w:pPr>
            <w:r w:rsidRPr="00490005">
              <w:rPr>
                <w:rFonts w:eastAsia="Times New Roman" w:cstheme="minorHAnsi"/>
                <w:bCs/>
                <w:color w:val="000000"/>
                <w:sz w:val="18"/>
                <w:szCs w:val="18"/>
                <w:lang w:eastAsia="nl-BE"/>
              </w:rPr>
              <w:t>Home Member State of the AIFM (where different from the master AIF</w:t>
            </w:r>
            <w:r w:rsidRPr="00490005">
              <w:rPr>
                <w:rFonts w:eastAsia="Times New Roman" w:cstheme="minorHAnsi" w:hint="eastAsia"/>
                <w:bCs/>
                <w:color w:val="000000"/>
                <w:sz w:val="18"/>
                <w:szCs w:val="18"/>
                <w:lang w:eastAsia="nl-BE"/>
              </w:rPr>
              <w:t>’</w:t>
            </w:r>
            <w:r w:rsidRPr="00490005">
              <w:rPr>
                <w:rFonts w:eastAsia="Times New Roman" w:cstheme="minorHAnsi"/>
                <w:bCs/>
                <w:color w:val="000000"/>
                <w:sz w:val="18"/>
                <w:szCs w:val="18"/>
                <w:lang w:eastAsia="nl-BE"/>
              </w:rPr>
              <w:t>s home Member State)</w:t>
            </w:r>
          </w:p>
        </w:tc>
      </w:tr>
      <w:tr w:rsidR="00BC4221" w:rsidRPr="00BC4221" w:rsidTr="00490005">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BC4221" w:rsidRPr="00490005" w:rsidRDefault="00BC4221" w:rsidP="00DA6F50">
            <w:pPr>
              <w:spacing w:before="120" w:after="0" w:line="240" w:lineRule="auto"/>
              <w:jc w:val="both"/>
              <w:rPr>
                <w:rFonts w:eastAsia="Times New Roman" w:cstheme="minorHAnsi"/>
                <w:color w:val="000000"/>
                <w:sz w:val="18"/>
                <w:szCs w:val="18"/>
                <w:lang w:eastAsia="nl-BE"/>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r>
      <w:tr w:rsidR="00BC4221" w:rsidRPr="00BC4221" w:rsidTr="00490005">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BC4221" w:rsidRPr="00490005" w:rsidRDefault="00BC4221" w:rsidP="00DA6F50">
            <w:pPr>
              <w:spacing w:before="120" w:after="0" w:line="240" w:lineRule="auto"/>
              <w:jc w:val="both"/>
              <w:rPr>
                <w:rFonts w:eastAsia="Times New Roman" w:cstheme="minorHAnsi"/>
                <w:color w:val="000000"/>
                <w:sz w:val="18"/>
                <w:szCs w:val="18"/>
                <w:lang w:eastAsia="nl-BE"/>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r>
      <w:tr w:rsidR="00BC4221" w:rsidRPr="00BC4221" w:rsidTr="00490005">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BC4221" w:rsidRPr="00490005" w:rsidRDefault="00BC4221" w:rsidP="00DA6F50">
            <w:pPr>
              <w:spacing w:before="120" w:after="0" w:line="240" w:lineRule="auto"/>
              <w:jc w:val="both"/>
              <w:rPr>
                <w:rFonts w:eastAsia="Times New Roman" w:cstheme="minorHAnsi"/>
                <w:color w:val="000000"/>
                <w:sz w:val="18"/>
                <w:szCs w:val="18"/>
                <w:lang w:eastAsia="nl-BE"/>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r>
      <w:tr w:rsidR="00BC4221" w:rsidRPr="00BC4221" w:rsidTr="00490005">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BC4221" w:rsidRPr="00490005" w:rsidRDefault="00BC4221" w:rsidP="00DA6F50">
            <w:pPr>
              <w:spacing w:before="120" w:after="0" w:line="240" w:lineRule="auto"/>
              <w:jc w:val="both"/>
              <w:rPr>
                <w:rFonts w:eastAsia="Times New Roman" w:cstheme="minorHAnsi"/>
                <w:color w:val="000000"/>
                <w:sz w:val="18"/>
                <w:szCs w:val="18"/>
                <w:lang w:eastAsia="nl-BE"/>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C4221" w:rsidRPr="00490005" w:rsidRDefault="00BC4221" w:rsidP="00DA6F50">
            <w:pPr>
              <w:spacing w:before="120" w:after="0" w:line="240" w:lineRule="auto"/>
              <w:jc w:val="both"/>
              <w:rPr>
                <w:rFonts w:eastAsia="Times New Roman" w:cstheme="minorHAnsi"/>
                <w:color w:val="000000"/>
                <w:sz w:val="18"/>
                <w:szCs w:val="18"/>
                <w:lang w:eastAsia="nl-BE"/>
              </w:rPr>
            </w:pPr>
            <w:r w:rsidRPr="00490005">
              <w:rPr>
                <w:rFonts w:eastAsia="Times New Roman" w:cstheme="minorHAnsi" w:hint="eastAsia"/>
                <w:color w:val="000000"/>
                <w:sz w:val="18"/>
                <w:szCs w:val="18"/>
                <w:lang w:eastAsia="nl-BE"/>
              </w:rPr>
              <w:t> </w:t>
            </w:r>
          </w:p>
        </w:tc>
      </w:tr>
    </w:tbl>
    <w:p w:rsidR="00122CCF" w:rsidRDefault="00122CCF" w:rsidP="00490005">
      <w:pPr>
        <w:spacing w:after="120" w:line="240" w:lineRule="auto"/>
        <w:rPr>
          <w:rFonts w:ascii="Calibri" w:eastAsia="Times New Roman" w:hAnsi="Calibri" w:cs="Times New Roman"/>
          <w:lang w:eastAsia="fr-BE"/>
        </w:rPr>
      </w:pPr>
    </w:p>
    <w:p w:rsidR="00490005" w:rsidRDefault="00490005">
      <w:pPr>
        <w:spacing w:after="200" w:line="276" w:lineRule="auto"/>
        <w:rPr>
          <w:rFonts w:eastAsia="Times New Roman" w:cstheme="minorHAnsi"/>
          <w:b/>
          <w:bCs/>
          <w:color w:val="000000"/>
          <w:lang w:eastAsia="nl-BE"/>
        </w:rPr>
      </w:pPr>
      <w:r>
        <w:rPr>
          <w:rFonts w:eastAsia="Times New Roman" w:cstheme="minorHAnsi"/>
          <w:b/>
          <w:bCs/>
          <w:color w:val="000000"/>
          <w:lang w:eastAsia="nl-BE"/>
        </w:rPr>
        <w:br w:type="page"/>
      </w:r>
    </w:p>
    <w:p w:rsidR="00490005" w:rsidRDefault="00490005" w:rsidP="00122CCF">
      <w:pPr>
        <w:shd w:val="clear" w:color="auto" w:fill="FFFFFF"/>
        <w:spacing w:before="240" w:after="120" w:line="240" w:lineRule="auto"/>
        <w:jc w:val="both"/>
        <w:rPr>
          <w:rFonts w:eastAsia="Times New Roman" w:cstheme="minorHAnsi"/>
          <w:b/>
          <w:bCs/>
          <w:color w:val="000000"/>
          <w:lang w:eastAsia="nl-BE"/>
        </w:rPr>
        <w:sectPr w:rsidR="00490005" w:rsidSect="00490005">
          <w:headerReference w:type="default" r:id="rId19"/>
          <w:footerReference w:type="default" r:id="rId20"/>
          <w:headerReference w:type="first" r:id="rId21"/>
          <w:footerReference w:type="first" r:id="rId22"/>
          <w:pgSz w:w="16838" w:h="11906" w:orient="landscape" w:code="9"/>
          <w:pgMar w:top="1758" w:right="2495" w:bottom="1134" w:left="1418" w:header="1531" w:footer="680" w:gutter="0"/>
          <w:cols w:space="708"/>
          <w:titlePg/>
          <w:docGrid w:linePitch="360"/>
        </w:sectPr>
      </w:pPr>
    </w:p>
    <w:p w:rsidR="00122CCF" w:rsidRPr="00490005" w:rsidRDefault="00122CCF" w:rsidP="00122CCF">
      <w:pPr>
        <w:shd w:val="clear" w:color="auto" w:fill="FFFFFF"/>
        <w:spacing w:before="240" w:after="120" w:line="240" w:lineRule="auto"/>
        <w:jc w:val="both"/>
        <w:rPr>
          <w:rFonts w:eastAsia="Times New Roman" w:cstheme="minorHAnsi"/>
          <w:b/>
          <w:bCs/>
          <w:color w:val="000000"/>
          <w:lang w:eastAsia="nl-BE"/>
        </w:rPr>
      </w:pPr>
      <w:r w:rsidRPr="00490005">
        <w:rPr>
          <w:rFonts w:eastAsia="Times New Roman" w:cstheme="minorHAnsi"/>
          <w:b/>
          <w:bCs/>
          <w:color w:val="000000"/>
          <w:lang w:eastAsia="nl-BE"/>
        </w:rPr>
        <w:lastRenderedPageBreak/>
        <w:t>Section 2.   Arrangements made for marketing of units or shares of AIFs</w:t>
      </w:r>
    </w:p>
    <w:p w:rsidR="00122CCF" w:rsidRDefault="00122CCF" w:rsidP="00122CCF">
      <w:pPr>
        <w:shd w:val="clear" w:color="auto" w:fill="FFFFFF"/>
        <w:spacing w:before="120" w:after="0" w:line="240" w:lineRule="auto"/>
        <w:jc w:val="both"/>
        <w:rPr>
          <w:rFonts w:eastAsia="Times New Roman" w:cstheme="minorHAnsi"/>
          <w:color w:val="000000"/>
          <w:lang w:eastAsia="nl-BE"/>
        </w:rPr>
      </w:pPr>
      <w:r w:rsidRPr="00490005">
        <w:rPr>
          <w:rFonts w:eastAsia="Times New Roman" w:cstheme="minorHAnsi"/>
          <w:color w:val="000000"/>
          <w:lang w:eastAsia="nl-BE"/>
        </w:rPr>
        <w:t xml:space="preserve">Units or shares of the AIF/AIF compartments </w:t>
      </w:r>
      <w:proofErr w:type="gramStart"/>
      <w:r w:rsidRPr="00490005">
        <w:rPr>
          <w:rFonts w:eastAsia="Times New Roman" w:cstheme="minorHAnsi"/>
          <w:color w:val="000000"/>
          <w:lang w:eastAsia="nl-BE"/>
        </w:rPr>
        <w:t>will be marketed</w:t>
      </w:r>
      <w:proofErr w:type="gramEnd"/>
      <w:r w:rsidRPr="00490005">
        <w:rPr>
          <w:rFonts w:eastAsia="Times New Roman" w:cstheme="minorHAnsi"/>
          <w:color w:val="000000"/>
          <w:lang w:eastAsia="nl-BE"/>
        </w:rPr>
        <w:t xml:space="preserve"> by:</w:t>
      </w:r>
    </w:p>
    <w:p w:rsidR="00122CCF" w:rsidRPr="009D5F24" w:rsidRDefault="00190C68" w:rsidP="00122CCF">
      <w:pPr>
        <w:spacing w:before="240" w:after="120" w:line="240" w:lineRule="auto"/>
        <w:rPr>
          <w:rFonts w:ascii="Calibri" w:eastAsia="Times New Roman" w:hAnsi="Calibri" w:cs="Times New Roman"/>
          <w:lang w:eastAsia="fr-BE"/>
        </w:rPr>
      </w:pPr>
      <w:sdt>
        <w:sdtPr>
          <w:rPr>
            <w:rFonts w:ascii="Calibri" w:eastAsia="Times New Roman" w:hAnsi="Calibri" w:cs="Times New Roman"/>
            <w:lang w:eastAsia="fr-BE"/>
          </w:rPr>
          <w:id w:val="-274943262"/>
          <w14:checkbox>
            <w14:checked w14:val="0"/>
            <w14:checkedState w14:val="2612" w14:font="MS Gothic"/>
            <w14:uncheckedState w14:val="2610" w14:font="MS Gothic"/>
          </w14:checkbox>
        </w:sdtPr>
        <w:sdtEndPr/>
        <w:sdtContent>
          <w:r w:rsidR="00122CCF" w:rsidRPr="009D5F24">
            <w:rPr>
              <w:rFonts w:ascii="Segoe UI Symbol" w:eastAsia="Times New Roman" w:hAnsi="Segoe UI Symbol" w:cs="Segoe UI Symbol"/>
              <w:lang w:eastAsia="fr-BE"/>
            </w:rPr>
            <w:t>☐</w:t>
          </w:r>
        </w:sdtContent>
      </w:sdt>
      <w:r w:rsidR="00122CCF" w:rsidRPr="009D5F24">
        <w:rPr>
          <w:rFonts w:ascii="Calibri" w:eastAsia="Times New Roman" w:hAnsi="Calibri" w:cs="Times New Roman"/>
          <w:lang w:eastAsia="fr-BE"/>
        </w:rPr>
        <w:t xml:space="preserve">    </w:t>
      </w:r>
      <w:r w:rsidR="009C2825">
        <w:rPr>
          <w:rFonts w:ascii="Calibri" w:eastAsia="Times New Roman" w:hAnsi="Calibri" w:cs="Times New Roman"/>
          <w:lang w:eastAsia="fr-BE"/>
        </w:rPr>
        <w:t>The AI</w:t>
      </w:r>
      <w:r w:rsidR="00122CCF">
        <w:rPr>
          <w:rFonts w:ascii="Calibri" w:eastAsia="Times New Roman" w:hAnsi="Calibri" w:cs="Times New Roman"/>
          <w:lang w:eastAsia="fr-BE"/>
        </w:rPr>
        <w:t>F</w:t>
      </w:r>
      <w:r w:rsidR="009C2825">
        <w:rPr>
          <w:rFonts w:ascii="Calibri" w:eastAsia="Times New Roman" w:hAnsi="Calibri" w:cs="Times New Roman"/>
          <w:lang w:eastAsia="fr-BE"/>
        </w:rPr>
        <w:t>M</w:t>
      </w:r>
      <w:r w:rsidR="00122CCF">
        <w:rPr>
          <w:rFonts w:ascii="Calibri" w:eastAsia="Times New Roman" w:hAnsi="Calibri" w:cs="Times New Roman"/>
          <w:lang w:eastAsia="fr-BE"/>
        </w:rPr>
        <w:t xml:space="preserve"> that manages the AIF or the internally managed AIF</w:t>
      </w:r>
    </w:p>
    <w:p w:rsidR="00122CCF" w:rsidRDefault="00190C68" w:rsidP="00122CCF">
      <w:pPr>
        <w:shd w:val="clear" w:color="auto" w:fill="FFFFFF"/>
        <w:spacing w:before="120" w:after="0" w:line="240" w:lineRule="auto"/>
        <w:jc w:val="both"/>
        <w:rPr>
          <w:rFonts w:ascii="Calibri" w:eastAsia="Times New Roman" w:hAnsi="Calibri" w:cs="Times New Roman"/>
          <w:lang w:eastAsia="fr-BE"/>
        </w:rPr>
      </w:pPr>
      <w:sdt>
        <w:sdtPr>
          <w:rPr>
            <w:rFonts w:ascii="Calibri" w:eastAsia="Times New Roman" w:hAnsi="Calibri" w:cs="Times New Roman"/>
            <w:lang w:eastAsia="fr-BE"/>
          </w:rPr>
          <w:id w:val="-603347020"/>
          <w14:checkbox>
            <w14:checked w14:val="0"/>
            <w14:checkedState w14:val="2612" w14:font="MS Gothic"/>
            <w14:uncheckedState w14:val="2610" w14:font="MS Gothic"/>
          </w14:checkbox>
        </w:sdtPr>
        <w:sdtEndPr/>
        <w:sdtContent>
          <w:r w:rsidR="00122CCF" w:rsidRPr="009D5F24">
            <w:rPr>
              <w:rFonts w:ascii="Segoe UI Symbol" w:eastAsia="Times New Roman" w:hAnsi="Segoe UI Symbol" w:cs="Segoe UI Symbol"/>
              <w:lang w:eastAsia="fr-BE"/>
            </w:rPr>
            <w:t>☐</w:t>
          </w:r>
        </w:sdtContent>
      </w:sdt>
      <w:r w:rsidR="00122CCF" w:rsidRPr="009D5F24">
        <w:rPr>
          <w:rFonts w:ascii="Calibri" w:eastAsia="Times New Roman" w:hAnsi="Calibri" w:cs="Times New Roman"/>
          <w:lang w:eastAsia="fr-BE"/>
        </w:rPr>
        <w:t xml:space="preserve"> </w:t>
      </w:r>
      <w:r w:rsidR="00122CCF">
        <w:rPr>
          <w:rFonts w:ascii="Calibri" w:eastAsia="Times New Roman" w:hAnsi="Calibri" w:cs="Times New Roman"/>
          <w:lang w:eastAsia="fr-BE"/>
        </w:rPr>
        <w:t xml:space="preserve">   Credit institutions</w:t>
      </w:r>
    </w:p>
    <w:p w:rsidR="00122CCF" w:rsidRPr="009D5F24" w:rsidRDefault="00190C68" w:rsidP="00490005">
      <w:pPr>
        <w:spacing w:before="120" w:after="120" w:line="240" w:lineRule="auto"/>
        <w:rPr>
          <w:rFonts w:ascii="Calibri" w:eastAsia="Times New Roman" w:hAnsi="Calibri" w:cs="Times New Roman"/>
          <w:lang w:eastAsia="fr-BE"/>
        </w:rPr>
      </w:pPr>
      <w:sdt>
        <w:sdtPr>
          <w:rPr>
            <w:rFonts w:ascii="Calibri" w:eastAsia="Times New Roman" w:hAnsi="Calibri" w:cs="Times New Roman"/>
            <w:lang w:eastAsia="fr-BE"/>
          </w:rPr>
          <w:id w:val="1815983237"/>
          <w14:checkbox>
            <w14:checked w14:val="0"/>
            <w14:checkedState w14:val="2612" w14:font="MS Gothic"/>
            <w14:uncheckedState w14:val="2610" w14:font="MS Gothic"/>
          </w14:checkbox>
        </w:sdtPr>
        <w:sdtEndPr/>
        <w:sdtContent>
          <w:r w:rsidR="00122CCF" w:rsidRPr="009D5F24">
            <w:rPr>
              <w:rFonts w:ascii="Segoe UI Symbol" w:eastAsia="Times New Roman" w:hAnsi="Segoe UI Symbol" w:cs="Segoe UI Symbol"/>
              <w:lang w:eastAsia="fr-BE"/>
            </w:rPr>
            <w:t>☐</w:t>
          </w:r>
        </w:sdtContent>
      </w:sdt>
      <w:r w:rsidR="00122CCF" w:rsidRPr="009D5F24">
        <w:rPr>
          <w:rFonts w:ascii="Calibri" w:eastAsia="Times New Roman" w:hAnsi="Calibri" w:cs="Times New Roman"/>
          <w:lang w:eastAsia="fr-BE"/>
        </w:rPr>
        <w:t xml:space="preserve">    </w:t>
      </w:r>
      <w:r w:rsidR="00122CCF">
        <w:rPr>
          <w:rFonts w:ascii="Calibri" w:eastAsia="Times New Roman" w:hAnsi="Calibri" w:cs="Times New Roman"/>
          <w:lang w:eastAsia="fr-BE"/>
        </w:rPr>
        <w:t>Authorised investment firms or advisers</w:t>
      </w:r>
    </w:p>
    <w:p w:rsidR="00490005" w:rsidRDefault="00190C68" w:rsidP="00490005">
      <w:pPr>
        <w:shd w:val="clear" w:color="auto" w:fill="FFFFFF"/>
        <w:spacing w:before="120" w:after="0" w:line="240" w:lineRule="auto"/>
        <w:rPr>
          <w:rFonts w:ascii="Calibri" w:eastAsia="Times New Roman" w:hAnsi="Calibri" w:cs="Times New Roman"/>
          <w:lang w:eastAsia="fr-BE"/>
        </w:rPr>
      </w:pPr>
      <w:sdt>
        <w:sdtPr>
          <w:rPr>
            <w:rFonts w:ascii="Calibri" w:eastAsia="Times New Roman" w:hAnsi="Calibri" w:cs="Times New Roman"/>
            <w:lang w:eastAsia="fr-BE"/>
          </w:rPr>
          <w:id w:val="-1055155665"/>
          <w14:checkbox>
            <w14:checked w14:val="0"/>
            <w14:checkedState w14:val="2612" w14:font="MS Gothic"/>
            <w14:uncheckedState w14:val="2610" w14:font="MS Gothic"/>
          </w14:checkbox>
        </w:sdtPr>
        <w:sdtEndPr/>
        <w:sdtContent>
          <w:r w:rsidR="00122CCF" w:rsidRPr="009D5F24">
            <w:rPr>
              <w:rFonts w:ascii="Segoe UI Symbol" w:eastAsia="Times New Roman" w:hAnsi="Segoe UI Symbol" w:cs="Segoe UI Symbol"/>
              <w:lang w:eastAsia="fr-BE"/>
            </w:rPr>
            <w:t>☐</w:t>
          </w:r>
        </w:sdtContent>
      </w:sdt>
      <w:r w:rsidR="00490005">
        <w:rPr>
          <w:rFonts w:ascii="Calibri" w:eastAsia="Times New Roman" w:hAnsi="Calibri" w:cs="Times New Roman"/>
          <w:lang w:eastAsia="fr-BE"/>
        </w:rPr>
        <w:t xml:space="preserve">    </w:t>
      </w:r>
      <w:r w:rsidR="00122CCF">
        <w:rPr>
          <w:rFonts w:ascii="Calibri" w:eastAsia="Times New Roman" w:hAnsi="Calibri" w:cs="Times New Roman"/>
          <w:lang w:eastAsia="fr-BE"/>
        </w:rPr>
        <w:t xml:space="preserve">Other bodies, including bodies located in a third country. Please specify </w:t>
      </w:r>
    </w:p>
    <w:p w:rsidR="00122CCF" w:rsidRDefault="00122CCF" w:rsidP="00490005">
      <w:pPr>
        <w:shd w:val="clear" w:color="auto" w:fill="FFFFFF"/>
        <w:spacing w:before="120" w:after="0" w:line="240" w:lineRule="auto"/>
        <w:rPr>
          <w:rFonts w:ascii="Calibri" w:eastAsia="Times New Roman" w:hAnsi="Calibri" w:cs="Times New Roman"/>
          <w:lang w:eastAsia="fr-BE"/>
        </w:rPr>
      </w:pPr>
      <w:r>
        <w:rPr>
          <w:rFonts w:ascii="Calibri" w:eastAsia="Times New Roman" w:hAnsi="Calibri" w:cs="Times New Roman"/>
          <w:lang w:eastAsia="fr-BE"/>
        </w:rPr>
        <w:t>____________________________________</w:t>
      </w:r>
    </w:p>
    <w:p w:rsidR="00122CCF" w:rsidRPr="00490005" w:rsidRDefault="00122CCF" w:rsidP="00122CCF">
      <w:pPr>
        <w:shd w:val="clear" w:color="auto" w:fill="FFFFFF"/>
        <w:spacing w:before="120" w:after="0" w:line="240" w:lineRule="auto"/>
        <w:jc w:val="both"/>
        <w:rPr>
          <w:rFonts w:eastAsia="Times New Roman" w:cstheme="minorHAnsi"/>
          <w:color w:val="000000"/>
          <w:lang w:eastAsia="nl-BE"/>
        </w:rPr>
      </w:pPr>
      <w:r w:rsidRPr="00490005">
        <w:rPr>
          <w:rFonts w:eastAsia="Times New Roman" w:cstheme="minorHAnsi"/>
          <w:color w:val="000000"/>
          <w:lang w:eastAsia="nl-BE"/>
        </w:rPr>
        <w:t>____________________________________________________________</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38"/>
        <w:gridCol w:w="63"/>
      </w:tblGrid>
      <w:tr w:rsidR="00122CCF" w:rsidRPr="00122CCF" w:rsidTr="00A80A4F">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122CCF" w:rsidRPr="00490005" w:rsidRDefault="00122CCF" w:rsidP="00122CCF">
            <w:pPr>
              <w:spacing w:before="60" w:after="60" w:line="240" w:lineRule="auto"/>
              <w:rPr>
                <w:rFonts w:eastAsia="Times New Roman" w:cstheme="minorHAnsi"/>
                <w:color w:val="000000"/>
                <w:lang w:eastAsia="nl-BE"/>
              </w:rPr>
            </w:pPr>
            <w:r w:rsidRPr="00490005">
              <w:rPr>
                <w:rFonts w:eastAsia="Times New Roman" w:cstheme="minorHAnsi"/>
                <w:color w:val="000000"/>
                <w:lang w:eastAsia="nl-BE"/>
              </w:rPr>
              <w:t xml:space="preserve">Please provide information on the arrangements established to prevent units or shares of the AIF from </w:t>
            </w:r>
            <w:proofErr w:type="gramStart"/>
            <w:r w:rsidRPr="00490005">
              <w:rPr>
                <w:rFonts w:eastAsia="Times New Roman" w:cstheme="minorHAnsi"/>
                <w:color w:val="000000"/>
                <w:lang w:eastAsia="nl-BE"/>
              </w:rPr>
              <w:t>being marketed</w:t>
            </w:r>
            <w:proofErr w:type="gramEnd"/>
            <w:r w:rsidRPr="00490005">
              <w:rPr>
                <w:rFonts w:eastAsia="Times New Roman" w:cstheme="minorHAnsi"/>
                <w:color w:val="000000"/>
                <w:lang w:eastAsia="nl-BE"/>
              </w:rPr>
              <w:t xml:space="preserve"> to retail investors, including in the case where the AIFM relies on activities of independent entities to provide investmen</w:t>
            </w:r>
            <w:r w:rsidRPr="00122CCF">
              <w:rPr>
                <w:rFonts w:eastAsia="Times New Roman" w:cstheme="minorHAnsi"/>
                <w:color w:val="000000"/>
                <w:lang w:eastAsia="nl-BE"/>
              </w:rPr>
              <w:t>t services in respect of the AIF</w:t>
            </w:r>
            <w:r>
              <w:rPr>
                <w:rStyle w:val="FootnoteReference"/>
                <w:rFonts w:eastAsia="Times New Roman" w:cstheme="minorHAnsi"/>
                <w:color w:val="000000"/>
                <w:lang w:eastAsia="nl-BE"/>
              </w:rPr>
              <w:footnoteReference w:id="7"/>
            </w:r>
            <w:r>
              <w:rPr>
                <w:rFonts w:eastAsia="Times New Roman" w:cstheme="minorHAnsi"/>
                <w:color w:val="000000"/>
                <w:lang w:eastAsia="nl-BE"/>
              </w:rPr>
              <w:t>.</w:t>
            </w:r>
          </w:p>
        </w:tc>
        <w:tc>
          <w:tcPr>
            <w:tcW w:w="0" w:type="auto"/>
            <w:tcBorders>
              <w:top w:val="single" w:sz="6" w:space="0" w:color="000000"/>
              <w:left w:val="single" w:sz="4" w:space="0" w:color="auto"/>
              <w:bottom w:val="single" w:sz="6" w:space="0" w:color="000000"/>
              <w:right w:val="single" w:sz="6" w:space="0" w:color="000000"/>
            </w:tcBorders>
            <w:shd w:val="clear" w:color="auto" w:fill="FFFFFF"/>
            <w:hideMark/>
          </w:tcPr>
          <w:p w:rsidR="00122CCF" w:rsidRPr="00490005" w:rsidRDefault="00122CCF" w:rsidP="00DA6F50">
            <w:pPr>
              <w:spacing w:before="120" w:after="0" w:line="240" w:lineRule="auto"/>
              <w:jc w:val="both"/>
              <w:rPr>
                <w:rFonts w:eastAsia="Times New Roman" w:cstheme="minorHAnsi"/>
                <w:color w:val="000000"/>
                <w:lang w:eastAsia="nl-BE"/>
              </w:rPr>
            </w:pPr>
            <w:r w:rsidRPr="00490005">
              <w:rPr>
                <w:rFonts w:eastAsia="Times New Roman" w:cstheme="minorHAnsi" w:hint="eastAsia"/>
                <w:color w:val="000000"/>
                <w:lang w:eastAsia="nl-BE"/>
              </w:rPr>
              <w:t> </w:t>
            </w:r>
          </w:p>
        </w:tc>
      </w:tr>
      <w:tr w:rsidR="00A80A4F" w:rsidRPr="00122CCF" w:rsidTr="00A80A4F">
        <w:tc>
          <w:tcPr>
            <w:tcW w:w="0" w:type="auto"/>
            <w:tcBorders>
              <w:top w:val="single" w:sz="4" w:space="0" w:color="auto"/>
              <w:left w:val="nil"/>
              <w:bottom w:val="nil"/>
              <w:right w:val="nil"/>
            </w:tcBorders>
            <w:shd w:val="clear" w:color="auto" w:fill="FFFFFF"/>
          </w:tcPr>
          <w:p w:rsidR="00A80A4F" w:rsidRPr="00490005" w:rsidRDefault="00A80A4F" w:rsidP="00122CCF">
            <w:pPr>
              <w:spacing w:before="60" w:after="60" w:line="240" w:lineRule="auto"/>
              <w:rPr>
                <w:rFonts w:eastAsia="Times New Roman" w:cstheme="minorHAnsi"/>
                <w:color w:val="000000"/>
                <w:lang w:eastAsia="nl-BE"/>
              </w:rPr>
            </w:pPr>
          </w:p>
        </w:tc>
        <w:tc>
          <w:tcPr>
            <w:tcW w:w="0" w:type="auto"/>
            <w:tcBorders>
              <w:top w:val="single" w:sz="6" w:space="0" w:color="000000"/>
              <w:left w:val="nil"/>
              <w:bottom w:val="single" w:sz="6" w:space="0" w:color="000000"/>
              <w:right w:val="single" w:sz="6" w:space="0" w:color="000000"/>
            </w:tcBorders>
            <w:shd w:val="clear" w:color="auto" w:fill="FFFFFF"/>
          </w:tcPr>
          <w:p w:rsidR="00A80A4F" w:rsidRPr="00490005" w:rsidRDefault="00A80A4F" w:rsidP="00DA6F50">
            <w:pPr>
              <w:spacing w:before="120" w:after="0" w:line="240" w:lineRule="auto"/>
              <w:jc w:val="both"/>
              <w:rPr>
                <w:rFonts w:eastAsia="Times New Roman" w:cstheme="minorHAnsi"/>
                <w:color w:val="000000"/>
                <w:lang w:eastAsia="nl-BE"/>
              </w:rPr>
            </w:pPr>
          </w:p>
        </w:tc>
      </w:tr>
    </w:tbl>
    <w:p w:rsidR="00335DAD" w:rsidRPr="00335DAD" w:rsidRDefault="00122CCF" w:rsidP="00335DAD">
      <w:pPr>
        <w:keepNext/>
        <w:keepLines/>
        <w:pBdr>
          <w:top w:val="single" w:sz="12" w:space="1" w:color="33444C"/>
          <w:bottom w:val="single" w:sz="12" w:space="1" w:color="33444C"/>
        </w:pBdr>
        <w:shd w:val="clear" w:color="auto" w:fill="E0E7EA"/>
        <w:spacing w:after="0" w:line="240" w:lineRule="auto"/>
        <w:outlineLvl w:val="0"/>
        <w:rPr>
          <w:rFonts w:ascii="Calibri" w:eastAsia="Times New Roman" w:hAnsi="Calibri" w:cs="Times New Roman"/>
          <w:b/>
          <w:bCs/>
          <w:color w:val="4C6572"/>
          <w:sz w:val="24"/>
          <w:szCs w:val="24"/>
          <w:lang w:eastAsia="fr-BE"/>
        </w:rPr>
      </w:pPr>
      <w:r>
        <w:rPr>
          <w:rFonts w:ascii="Calibri" w:eastAsia="Times New Roman" w:hAnsi="Calibri" w:cs="Times New Roman"/>
          <w:b/>
          <w:bCs/>
          <w:color w:val="4C6572"/>
          <w:sz w:val="24"/>
          <w:szCs w:val="24"/>
          <w:lang w:eastAsia="fr-BE"/>
        </w:rPr>
        <w:t>4</w:t>
      </w:r>
      <w:r w:rsidR="00335DAD" w:rsidRPr="00335DAD">
        <w:rPr>
          <w:rFonts w:ascii="Calibri" w:eastAsia="Times New Roman" w:hAnsi="Calibri" w:cs="Times New Roman"/>
          <w:b/>
          <w:bCs/>
          <w:color w:val="4C6572"/>
          <w:sz w:val="24"/>
          <w:szCs w:val="24"/>
          <w:lang w:eastAsia="fr-BE"/>
        </w:rPr>
        <w:t xml:space="preserve">. Documentation and information to </w:t>
      </w:r>
      <w:proofErr w:type="gramStart"/>
      <w:r w:rsidR="00335DAD" w:rsidRPr="00335DAD">
        <w:rPr>
          <w:rFonts w:ascii="Calibri" w:eastAsia="Times New Roman" w:hAnsi="Calibri" w:cs="Times New Roman"/>
          <w:b/>
          <w:bCs/>
          <w:color w:val="4C6572"/>
          <w:sz w:val="24"/>
          <w:szCs w:val="24"/>
          <w:lang w:eastAsia="fr-BE"/>
        </w:rPr>
        <w:t>be provided</w:t>
      </w:r>
      <w:proofErr w:type="gramEnd"/>
    </w:p>
    <w:p w:rsidR="00335DAD" w:rsidRDefault="00335DAD" w:rsidP="009D5F24">
      <w:pPr>
        <w:tabs>
          <w:tab w:val="left" w:pos="709"/>
        </w:tabs>
        <w:spacing w:after="120" w:line="240" w:lineRule="auto"/>
        <w:contextualSpacing/>
        <w:rPr>
          <w:rFonts w:ascii="Calibri" w:eastAsia="Times New Roman" w:hAnsi="Calibri" w:cs="Arial"/>
          <w:szCs w:val="18"/>
          <w:lang w:eastAsia="fr-BE"/>
        </w:rPr>
      </w:pPr>
    </w:p>
    <w:p w:rsidR="009D5F24" w:rsidRDefault="00190C68" w:rsidP="009D5F24">
      <w:pPr>
        <w:tabs>
          <w:tab w:val="left" w:pos="709"/>
        </w:tabs>
        <w:spacing w:after="120" w:line="240" w:lineRule="auto"/>
        <w:contextualSpacing/>
        <w:rPr>
          <w:rFonts w:ascii="Calibri" w:eastAsia="Times New Roman" w:hAnsi="Calibri" w:cs="Arial"/>
          <w:szCs w:val="18"/>
          <w:lang w:eastAsia="fr-BE"/>
        </w:rPr>
      </w:pPr>
      <w:sdt>
        <w:sdtPr>
          <w:rPr>
            <w:rFonts w:ascii="Calibri" w:eastAsia="Times New Roman" w:hAnsi="Calibri" w:cs="Arial"/>
            <w:szCs w:val="18"/>
            <w:lang w:eastAsia="fr-BE"/>
          </w:rPr>
          <w:id w:val="610484243"/>
          <w14:checkbox>
            <w14:checked w14:val="0"/>
            <w14:checkedState w14:val="2612" w14:font="MS Gothic"/>
            <w14:uncheckedState w14:val="2610" w14:font="MS Gothic"/>
          </w14:checkbox>
        </w:sdtPr>
        <w:sdtEndPr/>
        <w:sdtContent>
          <w:r w:rsidR="00335DAD">
            <w:rPr>
              <w:rFonts w:ascii="MS Gothic" w:eastAsia="MS Gothic" w:hAnsi="MS Gothic" w:cs="Arial" w:hint="eastAsia"/>
              <w:szCs w:val="18"/>
              <w:lang w:eastAsia="fr-BE"/>
            </w:rPr>
            <w:t>☐</w:t>
          </w:r>
        </w:sdtContent>
      </w:sdt>
      <w:r w:rsidR="009D5F24" w:rsidRPr="009D5F24">
        <w:rPr>
          <w:rFonts w:ascii="Calibri" w:eastAsia="Times New Roman" w:hAnsi="Calibri" w:cs="Arial"/>
          <w:szCs w:val="18"/>
          <w:lang w:eastAsia="fr-BE"/>
        </w:rPr>
        <w:t xml:space="preserve"> </w:t>
      </w:r>
      <w:r w:rsidR="003D2960">
        <w:rPr>
          <w:rFonts w:ascii="Calibri" w:eastAsia="Times New Roman" w:hAnsi="Calibri" w:cs="Arial"/>
          <w:szCs w:val="18"/>
          <w:lang w:eastAsia="fr-BE"/>
        </w:rPr>
        <w:t>The lat</w:t>
      </w:r>
      <w:r w:rsidR="00122CCF">
        <w:rPr>
          <w:rFonts w:ascii="Calibri" w:eastAsia="Times New Roman" w:hAnsi="Calibri" w:cs="Arial"/>
          <w:szCs w:val="18"/>
          <w:lang w:eastAsia="fr-BE"/>
        </w:rPr>
        <w:t xml:space="preserve">est version of </w:t>
      </w:r>
      <w:r w:rsidR="009D5F24" w:rsidRPr="009D5F24">
        <w:rPr>
          <w:rFonts w:ascii="Calibri" w:eastAsia="Times New Roman" w:hAnsi="Calibri" w:cs="Arial"/>
          <w:szCs w:val="18"/>
          <w:lang w:eastAsia="fr-BE"/>
        </w:rPr>
        <w:t>the</w:t>
      </w:r>
      <w:r w:rsidR="00122CCF">
        <w:rPr>
          <w:rFonts w:ascii="Calibri" w:eastAsia="Times New Roman" w:hAnsi="Calibri" w:cs="Arial"/>
          <w:szCs w:val="18"/>
          <w:lang w:eastAsia="fr-BE"/>
        </w:rPr>
        <w:t xml:space="preserve"> </w:t>
      </w:r>
      <w:r w:rsidR="009D5F24" w:rsidRPr="009D5F24">
        <w:rPr>
          <w:rFonts w:ascii="Calibri" w:eastAsia="Times New Roman" w:hAnsi="Calibri" w:cs="Arial"/>
          <w:szCs w:val="18"/>
          <w:lang w:eastAsia="fr-BE"/>
        </w:rPr>
        <w:t>rules or instruments of incorporation of the AIF</w:t>
      </w:r>
    </w:p>
    <w:p w:rsidR="00F55EA5" w:rsidRDefault="00190C68" w:rsidP="00F55EA5">
      <w:pPr>
        <w:tabs>
          <w:tab w:val="left" w:pos="709"/>
        </w:tabs>
        <w:spacing w:after="120" w:line="240" w:lineRule="auto"/>
        <w:contextualSpacing/>
        <w:rPr>
          <w:rFonts w:ascii="Calibri" w:eastAsia="Times New Roman" w:hAnsi="Calibri" w:cs="Arial"/>
          <w:szCs w:val="18"/>
          <w:lang w:eastAsia="fr-BE"/>
        </w:rPr>
      </w:pPr>
      <w:sdt>
        <w:sdtPr>
          <w:rPr>
            <w:rFonts w:ascii="Calibri" w:eastAsia="Times New Roman" w:hAnsi="Calibri" w:cs="Arial"/>
            <w:szCs w:val="18"/>
            <w:lang w:eastAsia="fr-BE"/>
          </w:rPr>
          <w:id w:val="783389854"/>
          <w14:checkbox>
            <w14:checked w14:val="0"/>
            <w14:checkedState w14:val="2612" w14:font="MS Gothic"/>
            <w14:uncheckedState w14:val="2610" w14:font="MS Gothic"/>
          </w14:checkbox>
        </w:sdtPr>
        <w:sdtEndPr/>
        <w:sdtContent>
          <w:r w:rsidR="00F55EA5">
            <w:rPr>
              <w:rFonts w:ascii="MS Gothic" w:eastAsia="MS Gothic" w:hAnsi="MS Gothic" w:cs="Arial" w:hint="eastAsia"/>
              <w:szCs w:val="18"/>
              <w:lang w:eastAsia="fr-BE"/>
            </w:rPr>
            <w:t>☐</w:t>
          </w:r>
        </w:sdtContent>
      </w:sdt>
      <w:r w:rsidR="00F55EA5" w:rsidRPr="009D5F24">
        <w:rPr>
          <w:rFonts w:ascii="Calibri" w:eastAsia="Times New Roman" w:hAnsi="Calibri" w:cs="Arial"/>
          <w:szCs w:val="18"/>
          <w:lang w:eastAsia="fr-BE"/>
        </w:rPr>
        <w:t xml:space="preserve"> </w:t>
      </w:r>
      <w:r w:rsidR="003D2960">
        <w:rPr>
          <w:rFonts w:ascii="Calibri" w:eastAsia="Times New Roman" w:hAnsi="Calibri" w:cs="Arial"/>
          <w:szCs w:val="18"/>
          <w:lang w:eastAsia="fr-BE"/>
        </w:rPr>
        <w:t>The lat</w:t>
      </w:r>
      <w:r w:rsidR="00F55EA5">
        <w:rPr>
          <w:rFonts w:ascii="Calibri" w:eastAsia="Times New Roman" w:hAnsi="Calibri" w:cs="Arial"/>
          <w:szCs w:val="18"/>
          <w:lang w:eastAsia="fr-BE"/>
        </w:rPr>
        <w:t xml:space="preserve">est version of </w:t>
      </w:r>
      <w:r w:rsidR="00F55EA5" w:rsidRPr="009D5F24">
        <w:rPr>
          <w:rFonts w:ascii="Calibri" w:eastAsia="Times New Roman" w:hAnsi="Calibri" w:cs="Arial"/>
          <w:szCs w:val="18"/>
          <w:lang w:eastAsia="fr-BE"/>
        </w:rPr>
        <w:t>the</w:t>
      </w:r>
      <w:r w:rsidR="003D2960">
        <w:rPr>
          <w:rFonts w:ascii="Calibri" w:eastAsia="Times New Roman" w:hAnsi="Calibri" w:cs="Arial"/>
          <w:szCs w:val="18"/>
          <w:lang w:eastAsia="fr-BE"/>
        </w:rPr>
        <w:t xml:space="preserve"> offering docum</w:t>
      </w:r>
      <w:r w:rsidR="00F55EA5">
        <w:rPr>
          <w:rFonts w:ascii="Calibri" w:eastAsia="Times New Roman" w:hAnsi="Calibri" w:cs="Arial"/>
          <w:szCs w:val="18"/>
          <w:lang w:eastAsia="fr-BE"/>
        </w:rPr>
        <w:t>ent (e.g. prospectus)</w:t>
      </w:r>
    </w:p>
    <w:p w:rsidR="00F55EA5" w:rsidRDefault="00190C68" w:rsidP="00F55EA5">
      <w:pPr>
        <w:tabs>
          <w:tab w:val="left" w:pos="709"/>
        </w:tabs>
        <w:spacing w:after="120" w:line="240" w:lineRule="auto"/>
        <w:contextualSpacing/>
        <w:rPr>
          <w:rFonts w:ascii="Calibri" w:eastAsia="Times New Roman" w:hAnsi="Calibri" w:cs="Arial"/>
          <w:szCs w:val="18"/>
          <w:lang w:eastAsia="fr-BE"/>
        </w:rPr>
      </w:pPr>
      <w:sdt>
        <w:sdtPr>
          <w:rPr>
            <w:rFonts w:ascii="Calibri" w:eastAsia="Times New Roman" w:hAnsi="Calibri" w:cs="Arial"/>
            <w:szCs w:val="18"/>
            <w:lang w:eastAsia="fr-BE"/>
          </w:rPr>
          <w:id w:val="1674832461"/>
          <w14:checkbox>
            <w14:checked w14:val="0"/>
            <w14:checkedState w14:val="2612" w14:font="MS Gothic"/>
            <w14:uncheckedState w14:val="2610" w14:font="MS Gothic"/>
          </w14:checkbox>
        </w:sdtPr>
        <w:sdtEndPr/>
        <w:sdtContent>
          <w:r w:rsidR="00F55EA5">
            <w:rPr>
              <w:rFonts w:ascii="MS Gothic" w:eastAsia="MS Gothic" w:hAnsi="MS Gothic" w:cs="Arial" w:hint="eastAsia"/>
              <w:szCs w:val="18"/>
              <w:lang w:eastAsia="fr-BE"/>
            </w:rPr>
            <w:t>☐</w:t>
          </w:r>
        </w:sdtContent>
      </w:sdt>
      <w:r w:rsidR="00F55EA5" w:rsidRPr="009D5F24">
        <w:rPr>
          <w:rFonts w:ascii="Calibri" w:eastAsia="Times New Roman" w:hAnsi="Calibri" w:cs="Arial"/>
          <w:szCs w:val="18"/>
          <w:lang w:eastAsia="fr-BE"/>
        </w:rPr>
        <w:t xml:space="preserve"> </w:t>
      </w:r>
      <w:r w:rsidR="00F55EA5">
        <w:rPr>
          <w:rFonts w:ascii="Calibri" w:eastAsia="Times New Roman" w:hAnsi="Calibri" w:cs="Arial"/>
          <w:szCs w:val="18"/>
          <w:lang w:eastAsia="fr-BE"/>
        </w:rPr>
        <w:t>The AIF’s latest annual report (if available)</w:t>
      </w:r>
    </w:p>
    <w:p w:rsidR="00F55EA5" w:rsidRDefault="00190C68" w:rsidP="00F55EA5">
      <w:pPr>
        <w:tabs>
          <w:tab w:val="left" w:pos="709"/>
        </w:tabs>
        <w:spacing w:after="120" w:line="240" w:lineRule="auto"/>
        <w:contextualSpacing/>
        <w:rPr>
          <w:rFonts w:ascii="Calibri" w:eastAsia="Times New Roman" w:hAnsi="Calibri" w:cs="Arial"/>
          <w:szCs w:val="18"/>
          <w:lang w:eastAsia="fr-BE"/>
        </w:rPr>
      </w:pPr>
      <w:sdt>
        <w:sdtPr>
          <w:rPr>
            <w:rFonts w:ascii="Calibri" w:eastAsia="Times New Roman" w:hAnsi="Calibri" w:cs="Arial"/>
            <w:szCs w:val="18"/>
            <w:lang w:eastAsia="fr-BE"/>
          </w:rPr>
          <w:id w:val="-1894729678"/>
          <w14:checkbox>
            <w14:checked w14:val="0"/>
            <w14:checkedState w14:val="2612" w14:font="MS Gothic"/>
            <w14:uncheckedState w14:val="2610" w14:font="MS Gothic"/>
          </w14:checkbox>
        </w:sdtPr>
        <w:sdtEndPr/>
        <w:sdtContent>
          <w:r w:rsidR="00F55EA5">
            <w:rPr>
              <w:rFonts w:ascii="MS Gothic" w:eastAsia="MS Gothic" w:hAnsi="MS Gothic" w:cs="Arial" w:hint="eastAsia"/>
              <w:szCs w:val="18"/>
              <w:lang w:eastAsia="fr-BE"/>
            </w:rPr>
            <w:t>☐</w:t>
          </w:r>
        </w:sdtContent>
      </w:sdt>
      <w:r w:rsidR="00F55EA5" w:rsidRPr="009D5F24">
        <w:rPr>
          <w:rFonts w:ascii="Calibri" w:eastAsia="Times New Roman" w:hAnsi="Calibri" w:cs="Arial"/>
          <w:szCs w:val="18"/>
          <w:lang w:eastAsia="fr-BE"/>
        </w:rPr>
        <w:t xml:space="preserve"> </w:t>
      </w:r>
      <w:r w:rsidR="003D2960">
        <w:rPr>
          <w:rFonts w:ascii="Calibri" w:eastAsia="Times New Roman" w:hAnsi="Calibri" w:cs="Arial"/>
          <w:szCs w:val="18"/>
          <w:lang w:eastAsia="fr-BE"/>
        </w:rPr>
        <w:t>The lat</w:t>
      </w:r>
      <w:r w:rsidR="00F55EA5">
        <w:rPr>
          <w:rFonts w:ascii="Calibri" w:eastAsia="Times New Roman" w:hAnsi="Calibri" w:cs="Arial"/>
          <w:szCs w:val="18"/>
          <w:lang w:eastAsia="fr-BE"/>
        </w:rPr>
        <w:t xml:space="preserve">est version of </w:t>
      </w:r>
      <w:r w:rsidR="00F55EA5" w:rsidRPr="009D5F24">
        <w:rPr>
          <w:rFonts w:ascii="Calibri" w:eastAsia="Times New Roman" w:hAnsi="Calibri" w:cs="Arial"/>
          <w:szCs w:val="18"/>
          <w:lang w:eastAsia="fr-BE"/>
        </w:rPr>
        <w:t>the</w:t>
      </w:r>
      <w:r w:rsidR="00F55EA5">
        <w:rPr>
          <w:rFonts w:ascii="Calibri" w:eastAsia="Times New Roman" w:hAnsi="Calibri" w:cs="Arial"/>
          <w:szCs w:val="18"/>
          <w:lang w:eastAsia="fr-BE"/>
        </w:rPr>
        <w:t xml:space="preserve"> </w:t>
      </w:r>
      <w:r w:rsidR="00F55EA5" w:rsidRPr="009D5F24">
        <w:rPr>
          <w:rFonts w:ascii="Calibri" w:eastAsia="Times New Roman" w:hAnsi="Calibri" w:cs="Arial"/>
          <w:szCs w:val="18"/>
          <w:lang w:eastAsia="fr-BE"/>
        </w:rPr>
        <w:t>rules or instruments of incorporation of the AIF</w:t>
      </w:r>
    </w:p>
    <w:p w:rsidR="00794766" w:rsidRPr="009D5F24" w:rsidRDefault="00794766" w:rsidP="009D5F24">
      <w:pPr>
        <w:tabs>
          <w:tab w:val="left" w:pos="709"/>
        </w:tabs>
        <w:spacing w:after="120" w:line="240" w:lineRule="auto"/>
        <w:contextualSpacing/>
        <w:rPr>
          <w:rFonts w:ascii="Calibri" w:eastAsia="Times New Roman" w:hAnsi="Calibri" w:cs="Arial"/>
          <w:szCs w:val="18"/>
          <w:lang w:eastAsia="fr-BE"/>
        </w:rPr>
      </w:pPr>
    </w:p>
    <w:p w:rsidR="009D5F24" w:rsidRDefault="00190C68" w:rsidP="009D5F24">
      <w:pPr>
        <w:tabs>
          <w:tab w:val="left" w:pos="709"/>
        </w:tabs>
        <w:spacing w:after="120" w:line="240" w:lineRule="auto"/>
        <w:contextualSpacing/>
        <w:rPr>
          <w:rFonts w:ascii="Calibri" w:eastAsia="Times New Roman" w:hAnsi="Calibri" w:cs="Times New Roman"/>
          <w:lang w:eastAsia="fr-BE"/>
        </w:rPr>
      </w:pPr>
      <w:sdt>
        <w:sdtPr>
          <w:rPr>
            <w:rFonts w:ascii="Calibri" w:eastAsia="Times New Roman" w:hAnsi="Calibri" w:cs="Arial"/>
            <w:szCs w:val="18"/>
            <w:lang w:eastAsia="fr-BE"/>
          </w:rPr>
          <w:id w:val="-982849382"/>
          <w14:checkbox>
            <w14:checked w14:val="0"/>
            <w14:checkedState w14:val="2612" w14:font="MS Gothic"/>
            <w14:uncheckedState w14:val="2610" w14:font="MS Gothic"/>
          </w14:checkbox>
        </w:sdtPr>
        <w:sdtEndPr/>
        <w:sdtContent>
          <w:r w:rsidR="009D5F24" w:rsidRPr="009D5F24">
            <w:rPr>
              <w:rFonts w:ascii="Segoe UI Symbol" w:eastAsia="Times New Roman" w:hAnsi="Segoe UI Symbol" w:cs="Segoe UI Symbol"/>
              <w:szCs w:val="18"/>
              <w:lang w:eastAsia="fr-BE"/>
            </w:rPr>
            <w:t>☐</w:t>
          </w:r>
        </w:sdtContent>
      </w:sdt>
      <w:r w:rsidR="009D5F24" w:rsidRPr="009D5F24">
        <w:rPr>
          <w:rFonts w:ascii="Calibri" w:eastAsia="Times New Roman" w:hAnsi="Calibri" w:cs="Arial"/>
          <w:szCs w:val="18"/>
          <w:lang w:eastAsia="fr-BE"/>
        </w:rPr>
        <w:t xml:space="preserve"> </w:t>
      </w:r>
      <w:r w:rsidR="00F55EA5">
        <w:rPr>
          <w:rFonts w:ascii="Calibri" w:eastAsia="Times New Roman" w:hAnsi="Calibri" w:cs="Arial"/>
          <w:szCs w:val="18"/>
          <w:lang w:eastAsia="fr-BE"/>
        </w:rPr>
        <w:t>F</w:t>
      </w:r>
      <w:r w:rsidR="009D5F24" w:rsidRPr="009D5F24">
        <w:rPr>
          <w:rFonts w:ascii="Calibri" w:eastAsia="Times New Roman" w:hAnsi="Calibri" w:cs="Arial"/>
          <w:szCs w:val="18"/>
          <w:lang w:eastAsia="fr-BE"/>
        </w:rPr>
        <w:t>or each AIF the AIFM intends to market</w:t>
      </w:r>
      <w:r w:rsidR="009D5F24" w:rsidRPr="009D5F24">
        <w:rPr>
          <w:rFonts w:ascii="Calibri" w:eastAsia="Times New Roman" w:hAnsi="Calibri" w:cs="Times New Roman"/>
          <w:lang w:eastAsia="fr-BE"/>
        </w:rPr>
        <w:t>, the information in Annex 1 to this form</w:t>
      </w:r>
    </w:p>
    <w:p w:rsidR="00F55EA5" w:rsidRPr="009D5F24" w:rsidRDefault="00190C68" w:rsidP="00F55EA5">
      <w:pPr>
        <w:tabs>
          <w:tab w:val="left" w:pos="709"/>
        </w:tabs>
        <w:spacing w:after="120" w:line="240" w:lineRule="auto"/>
        <w:contextualSpacing/>
        <w:rPr>
          <w:rFonts w:ascii="Calibri" w:eastAsia="Times New Roman" w:hAnsi="Calibri" w:cs="Times New Roman"/>
          <w:lang w:eastAsia="fr-BE"/>
        </w:rPr>
      </w:pPr>
      <w:sdt>
        <w:sdtPr>
          <w:rPr>
            <w:rFonts w:ascii="Calibri" w:eastAsia="Times New Roman" w:hAnsi="Calibri" w:cs="Arial"/>
            <w:szCs w:val="18"/>
            <w:lang w:eastAsia="fr-BE"/>
          </w:rPr>
          <w:id w:val="1798336908"/>
          <w14:checkbox>
            <w14:checked w14:val="0"/>
            <w14:checkedState w14:val="2612" w14:font="MS Gothic"/>
            <w14:uncheckedState w14:val="2610" w14:font="MS Gothic"/>
          </w14:checkbox>
        </w:sdtPr>
        <w:sdtEndPr/>
        <w:sdtContent>
          <w:r w:rsidR="00F55EA5" w:rsidRPr="009D5F24">
            <w:rPr>
              <w:rFonts w:ascii="Segoe UI Symbol" w:eastAsia="Times New Roman" w:hAnsi="Segoe UI Symbol" w:cs="Segoe UI Symbol"/>
              <w:szCs w:val="18"/>
              <w:lang w:eastAsia="fr-BE"/>
            </w:rPr>
            <w:t>☐</w:t>
          </w:r>
        </w:sdtContent>
      </w:sdt>
      <w:r w:rsidR="00F55EA5" w:rsidRPr="009D5F24">
        <w:rPr>
          <w:rFonts w:ascii="Calibri" w:eastAsia="Times New Roman" w:hAnsi="Calibri" w:cs="Arial"/>
          <w:szCs w:val="18"/>
          <w:lang w:eastAsia="fr-BE"/>
        </w:rPr>
        <w:t xml:space="preserve"> </w:t>
      </w:r>
      <w:r w:rsidR="00F55EA5">
        <w:rPr>
          <w:rFonts w:ascii="Calibri" w:eastAsia="Times New Roman" w:hAnsi="Calibri" w:cs="Arial"/>
          <w:szCs w:val="18"/>
          <w:lang w:eastAsia="fr-BE"/>
        </w:rPr>
        <w:t>Other (please specify)</w:t>
      </w:r>
    </w:p>
    <w:p w:rsidR="00F55EA5" w:rsidRPr="009D5F24" w:rsidRDefault="00F55EA5" w:rsidP="009D5F24">
      <w:pPr>
        <w:tabs>
          <w:tab w:val="left" w:pos="709"/>
        </w:tabs>
        <w:spacing w:after="120" w:line="240" w:lineRule="auto"/>
        <w:contextualSpacing/>
        <w:rPr>
          <w:rFonts w:ascii="Calibri" w:eastAsia="Times New Roman" w:hAnsi="Calibri" w:cs="Times New Roman"/>
          <w:lang w:eastAsia="fr-BE"/>
        </w:rPr>
      </w:pPr>
    </w:p>
    <w:p w:rsidR="00122CCF" w:rsidRPr="00F55EA5" w:rsidRDefault="00122CCF" w:rsidP="009D5F24">
      <w:pPr>
        <w:spacing w:after="120" w:line="240" w:lineRule="auto"/>
        <w:rPr>
          <w:rFonts w:ascii="Calibri" w:eastAsia="Times New Roman" w:hAnsi="Calibri" w:cs="Times New Roman"/>
          <w:color w:val="4C6572"/>
          <w:sz w:val="24"/>
          <w:szCs w:val="24"/>
          <w:lang w:eastAsia="fr-BE"/>
        </w:rPr>
      </w:pPr>
    </w:p>
    <w:p w:rsidR="00D57D23" w:rsidRDefault="00D57D23" w:rsidP="00D57D23">
      <w:pPr>
        <w:spacing w:before="480" w:after="480" w:line="240" w:lineRule="auto"/>
        <w:jc w:val="both"/>
      </w:pPr>
      <w:r>
        <w:t>Date:</w:t>
      </w:r>
    </w:p>
    <w:p w:rsidR="009D5F24" w:rsidRPr="009D5F24" w:rsidRDefault="00D57D23" w:rsidP="002D3F08">
      <w:pPr>
        <w:spacing w:before="480" w:after="480" w:line="240" w:lineRule="auto"/>
        <w:jc w:val="both"/>
        <w:rPr>
          <w:rFonts w:ascii="Calibri" w:eastAsia="Times New Roman" w:hAnsi="Calibri" w:cs="Times New Roman"/>
          <w:lang w:eastAsia="fr-BE"/>
        </w:rPr>
      </w:pPr>
      <w:r>
        <w:t>Signature:</w:t>
      </w:r>
    </w:p>
    <w:p w:rsidR="009D5F24" w:rsidRPr="009D5F24" w:rsidRDefault="009D5F24" w:rsidP="009D5F24">
      <w:pPr>
        <w:spacing w:after="120" w:line="240" w:lineRule="auto"/>
        <w:rPr>
          <w:rFonts w:ascii="Calibri" w:eastAsia="Times New Roman" w:hAnsi="Calibri" w:cs="Times New Roman"/>
          <w:color w:val="4C6572"/>
          <w:sz w:val="24"/>
          <w:szCs w:val="24"/>
          <w:lang w:eastAsia="fr-BE"/>
        </w:rPr>
      </w:pPr>
      <w:r w:rsidRPr="009D5F24">
        <w:rPr>
          <w:rFonts w:ascii="Calibri" w:eastAsia="Times New Roman" w:hAnsi="Calibri" w:cs="Times New Roman"/>
          <w:lang w:eastAsia="fr-BE"/>
        </w:rPr>
        <w:br w:type="page"/>
      </w:r>
    </w:p>
    <w:p w:rsidR="009D5F24" w:rsidRPr="009D5F24" w:rsidRDefault="009D5F24" w:rsidP="009D5F24">
      <w:pPr>
        <w:keepNext/>
        <w:keepLines/>
        <w:pBdr>
          <w:top w:val="single" w:sz="12" w:space="1" w:color="33444C"/>
          <w:bottom w:val="single" w:sz="12" w:space="1" w:color="33444C"/>
        </w:pBdr>
        <w:shd w:val="clear" w:color="auto" w:fill="E0E7EA"/>
        <w:spacing w:after="0" w:line="240" w:lineRule="auto"/>
        <w:outlineLvl w:val="0"/>
        <w:rPr>
          <w:rFonts w:ascii="Calibri" w:eastAsia="Times New Roman" w:hAnsi="Calibri" w:cs="Times New Roman"/>
          <w:b/>
          <w:bCs/>
          <w:color w:val="4C6572"/>
          <w:sz w:val="24"/>
          <w:szCs w:val="24"/>
          <w:lang w:eastAsia="fr-BE"/>
        </w:rPr>
      </w:pPr>
      <w:r w:rsidRPr="009D5F24">
        <w:rPr>
          <w:rFonts w:ascii="Calibri" w:eastAsia="Times New Roman" w:hAnsi="Calibri" w:cs="Times New Roman"/>
          <w:b/>
          <w:bCs/>
          <w:color w:val="4C6572"/>
          <w:sz w:val="24"/>
          <w:szCs w:val="24"/>
          <w:lang w:eastAsia="fr-BE"/>
        </w:rPr>
        <w:lastRenderedPageBreak/>
        <w:t>Annex 1 Specific information regarding each AIF to be marketed</w:t>
      </w:r>
    </w:p>
    <w:p w:rsidR="009D5F24" w:rsidRPr="009D5F24" w:rsidRDefault="009D5F24" w:rsidP="009D5F24">
      <w:pPr>
        <w:spacing w:after="120" w:line="240" w:lineRule="auto"/>
        <w:rPr>
          <w:rFonts w:ascii="Calibri" w:eastAsia="Times New Roman" w:hAnsi="Calibri" w:cs="Times New Roman"/>
          <w:lang w:eastAsia="fr-BE"/>
        </w:rPr>
      </w:pPr>
    </w:p>
    <w:p w:rsidR="009D5F24" w:rsidRDefault="009D5F24" w:rsidP="009D5F24">
      <w:pPr>
        <w:spacing w:after="120" w:line="240" w:lineRule="auto"/>
        <w:rPr>
          <w:rFonts w:ascii="Calibri" w:eastAsia="Times New Roman" w:hAnsi="Calibri" w:cs="Times New Roman"/>
          <w:lang w:eastAsia="fr-BE"/>
        </w:rPr>
      </w:pPr>
      <w:r w:rsidRPr="009D5F24">
        <w:rPr>
          <w:rFonts w:ascii="Calibri" w:eastAsia="Times New Roman" w:hAnsi="Calibri" w:cs="Times New Roman"/>
          <w:lang w:eastAsia="fr-BE"/>
        </w:rPr>
        <w:t>Please specify for each element where it can be found in the attached documents (document and page).</w:t>
      </w:r>
    </w:p>
    <w:p w:rsidR="008A6834" w:rsidRPr="009D5F24" w:rsidRDefault="004901A2" w:rsidP="009D5F24">
      <w:pPr>
        <w:spacing w:after="120" w:line="240" w:lineRule="auto"/>
        <w:rPr>
          <w:rFonts w:ascii="Calibri" w:eastAsia="Times New Roman" w:hAnsi="Calibri" w:cs="Times New Roman"/>
          <w:lang w:eastAsia="fr-BE"/>
        </w:rPr>
      </w:pPr>
      <w:r>
        <w:rPr>
          <w:rFonts w:ascii="Calibri" w:eastAsia="Times New Roman" w:hAnsi="Calibri" w:cs="Arial"/>
          <w:szCs w:val="18"/>
          <w:lang w:eastAsia="fr-BE"/>
        </w:rPr>
        <w:t>A</w:t>
      </w:r>
      <w:r w:rsidR="008A6834" w:rsidRPr="00D811BB">
        <w:rPr>
          <w:rFonts w:ascii="Calibri" w:eastAsia="Times New Roman" w:hAnsi="Calibri" w:cs="Arial"/>
          <w:szCs w:val="18"/>
          <w:lang w:eastAsia="fr-BE"/>
        </w:rPr>
        <w:t xml:space="preserve"> </w:t>
      </w:r>
      <w:r w:rsidR="008A6834">
        <w:rPr>
          <w:rFonts w:ascii="Calibri" w:eastAsia="Times New Roman" w:hAnsi="Calibri" w:cs="Arial"/>
          <w:szCs w:val="18"/>
          <w:lang w:eastAsia="fr-BE"/>
        </w:rPr>
        <w:t>single table must be completed for each compartment</w:t>
      </w:r>
      <w:r w:rsidR="008A6834">
        <w:rPr>
          <w:rStyle w:val="FootnoteReference"/>
          <w:rFonts w:ascii="Calibri" w:eastAsia="Times New Roman" w:hAnsi="Calibri" w:cs="Arial"/>
          <w:szCs w:val="18"/>
          <w:lang w:eastAsia="fr-BE"/>
        </w:rPr>
        <w:footnoteReference w:id="8"/>
      </w:r>
      <w:r w:rsidR="008A6834">
        <w:rPr>
          <w:rFonts w:ascii="Calibri" w:eastAsia="Times New Roman" w:hAnsi="Calibri" w:cs="Arial"/>
          <w:szCs w:val="18"/>
          <w:lang w:eastAsia="fr-BE"/>
        </w:rPr>
        <w:t xml:space="preserve">. </w:t>
      </w:r>
    </w:p>
    <w:tbl>
      <w:tblPr>
        <w:tblStyle w:val="TableGrid1"/>
        <w:tblW w:w="9640" w:type="dxa"/>
        <w:tblInd w:w="-147" w:type="dxa"/>
        <w:tblLayout w:type="fixed"/>
        <w:tblLook w:val="04A0" w:firstRow="1" w:lastRow="0" w:firstColumn="1" w:lastColumn="0" w:noHBand="0" w:noVBand="1"/>
      </w:tblPr>
      <w:tblGrid>
        <w:gridCol w:w="8080"/>
        <w:gridCol w:w="1560"/>
      </w:tblGrid>
      <w:tr w:rsidR="009D5F24" w:rsidRPr="009D5F24" w:rsidTr="001339C5">
        <w:tc>
          <w:tcPr>
            <w:tcW w:w="8080" w:type="dxa"/>
          </w:tcPr>
          <w:p w:rsidR="009D5F24" w:rsidRPr="009D5F24" w:rsidRDefault="009D5F24" w:rsidP="009D5F24">
            <w:pPr>
              <w:overflowPunct w:val="0"/>
              <w:autoSpaceDE w:val="0"/>
              <w:autoSpaceDN w:val="0"/>
              <w:adjustRightInd w:val="0"/>
              <w:spacing w:after="120" w:line="240" w:lineRule="auto"/>
              <w:textAlignment w:val="baseline"/>
              <w:rPr>
                <w:rFonts w:ascii="Calibri" w:hAnsi="Calibri" w:cs="Arial"/>
                <w:b/>
                <w:color w:val="000000"/>
                <w:sz w:val="20"/>
                <w:szCs w:val="20"/>
                <w:lang w:eastAsia="fr-BE"/>
              </w:rPr>
            </w:pPr>
            <w:r w:rsidRPr="009D5F24">
              <w:rPr>
                <w:rFonts w:ascii="Calibri" w:hAnsi="Calibri" w:cs="Arial"/>
                <w:b/>
                <w:color w:val="000000"/>
                <w:sz w:val="20"/>
                <w:szCs w:val="20"/>
                <w:lang w:eastAsia="fr-BE"/>
              </w:rPr>
              <w:t>Information (Art. 23 AIFMD)</w:t>
            </w:r>
            <w:r w:rsidR="000446FE">
              <w:rPr>
                <w:rFonts w:ascii="Calibri" w:hAnsi="Calibri" w:cs="Arial"/>
                <w:b/>
                <w:color w:val="000000"/>
                <w:sz w:val="20"/>
                <w:szCs w:val="20"/>
                <w:lang w:eastAsia="fr-BE"/>
              </w:rPr>
              <w:t xml:space="preserve"> on [name of the compartment]</w:t>
            </w:r>
          </w:p>
        </w:tc>
        <w:tc>
          <w:tcPr>
            <w:tcW w:w="1560" w:type="dxa"/>
          </w:tcPr>
          <w:p w:rsidR="009D5F24" w:rsidRPr="009D5F24" w:rsidRDefault="009D5F24" w:rsidP="009D5F24">
            <w:pPr>
              <w:overflowPunct w:val="0"/>
              <w:autoSpaceDE w:val="0"/>
              <w:autoSpaceDN w:val="0"/>
              <w:adjustRightInd w:val="0"/>
              <w:spacing w:after="120" w:line="240" w:lineRule="auto"/>
              <w:textAlignment w:val="baseline"/>
              <w:rPr>
                <w:rFonts w:ascii="Calibri" w:hAnsi="Calibri" w:cs="Arial"/>
                <w:b/>
                <w:sz w:val="20"/>
                <w:szCs w:val="20"/>
                <w:lang w:eastAsia="fr-BE"/>
              </w:rPr>
            </w:pPr>
            <w:r w:rsidRPr="009D5F24">
              <w:rPr>
                <w:rFonts w:ascii="Calibri" w:hAnsi="Calibri" w:cs="Arial"/>
                <w:b/>
                <w:sz w:val="20"/>
                <w:szCs w:val="20"/>
                <w:lang w:eastAsia="fr-BE"/>
              </w:rPr>
              <w:t>Document and page</w:t>
            </w: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a) a description of the investment strategy and objectives of the AIF</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information on where any master AIF is established and where the underlying funds are established if the AIF is a fund of funds</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a description of the types of assets in which the AIF may invest, the techniques it may employ and all associated risks, any applicable investment restrictions, the circumstances in which the AIF may use leverage, the types and sources of leverage permitted and the associated risks, any restrictions on the use of leverage and any collateral and asset reuse arrangements, and the maximum level of leverage which the AIFM are entitled to employ on behalf of the AIF;</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b) a description of the procedures by which the AIF may change its investment strategy or investment policy, or both; </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c) a description of the main legal implications of the contractual relationship entered into for the purpose of investment, including information on jurisdiction, on the applicable law and on the existence or not of any legal instruments providing for the recognition and enforcement of judgments in the territory where the AIF is established; </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9D5F24" w:rsidRPr="009D5F24" w:rsidTr="001339C5">
        <w:tc>
          <w:tcPr>
            <w:tcW w:w="8080" w:type="dxa"/>
          </w:tcPr>
          <w:p w:rsidR="009D5F24" w:rsidRPr="009D5F24" w:rsidRDefault="009D5F24" w:rsidP="009D5F24">
            <w:pPr>
              <w:autoSpaceDE w:val="0"/>
              <w:autoSpaceDN w:val="0"/>
              <w:adjustRightInd w:val="0"/>
              <w:spacing w:after="0" w:line="240" w:lineRule="atLeast"/>
              <w:jc w:val="both"/>
              <w:rPr>
                <w:rFonts w:ascii="Calibri" w:hAnsi="Calibri" w:cs="Arial"/>
                <w:color w:val="000000"/>
                <w:sz w:val="18"/>
                <w:szCs w:val="18"/>
                <w:lang w:eastAsia="fr-FR"/>
              </w:rPr>
            </w:pPr>
            <w:r w:rsidRPr="009D5F24">
              <w:rPr>
                <w:rFonts w:ascii="Calibri" w:hAnsi="Calibri" w:cs="Arial"/>
                <w:color w:val="000000"/>
                <w:sz w:val="18"/>
                <w:szCs w:val="18"/>
                <w:lang w:eastAsia="fr-FR"/>
              </w:rPr>
              <w:t xml:space="preserve">d) the identity of the AIFM, the AIF’s depositary, auditor and any other service providers and a description of their duties and the investors’ rights; </w:t>
            </w:r>
          </w:p>
        </w:tc>
        <w:tc>
          <w:tcPr>
            <w:tcW w:w="1560" w:type="dxa"/>
          </w:tcPr>
          <w:p w:rsidR="009D5F24" w:rsidRPr="009D5F24" w:rsidRDefault="009D5F24" w:rsidP="009D5F24">
            <w:pPr>
              <w:autoSpaceDE w:val="0"/>
              <w:autoSpaceDN w:val="0"/>
              <w:adjustRightInd w:val="0"/>
              <w:spacing w:after="0" w:line="240" w:lineRule="atLeast"/>
              <w:jc w:val="both"/>
              <w:rPr>
                <w:rFonts w:ascii="Calibri" w:hAnsi="Calibri" w:cs="Arial"/>
                <w:color w:val="000000"/>
                <w:sz w:val="18"/>
                <w:szCs w:val="18"/>
                <w:lang w:eastAsia="fr-FR"/>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e) a description of how the AIFM is complying with the requirements of Article 9(7)</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9D5F24" w:rsidRPr="009D5F24" w:rsidTr="001339C5">
        <w:tc>
          <w:tcPr>
            <w:tcW w:w="8080" w:type="dxa"/>
          </w:tcPr>
          <w:p w:rsidR="009D5F24" w:rsidRPr="009D5F24" w:rsidRDefault="009D5F24" w:rsidP="004901A2">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f) a description of any delegated management function as referred to in Anne</w:t>
            </w:r>
            <w:r w:rsidR="004901A2">
              <w:rPr>
                <w:rFonts w:ascii="Calibri" w:hAnsi="Calibri" w:cs="Arial"/>
                <w:color w:val="000000"/>
                <w:sz w:val="18"/>
                <w:szCs w:val="18"/>
                <w:lang w:eastAsia="fr-BE"/>
              </w:rPr>
              <w:t>x I by the AIFM and of any safe</w:t>
            </w:r>
            <w:r w:rsidRPr="009D5F24">
              <w:rPr>
                <w:rFonts w:ascii="Calibri" w:hAnsi="Calibri" w:cs="Arial"/>
                <w:color w:val="000000"/>
                <w:sz w:val="18"/>
                <w:szCs w:val="18"/>
                <w:lang w:eastAsia="fr-BE"/>
              </w:rPr>
              <w:t>keeping function delegated by the depositary, the identification of the delegate and any conflicts of interest that may arise from such delegations;</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g) a description of the AIF’s valuation procedure and of the pricing methodology for valuing assets, including the methods used in valuing hard-to-value assets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h) a description of the AIF’s liquidity risk management, including the redemption rights both in normal and in exceptional circumstances, and the existing redemption arrangements with investors; </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i) a description of all fees, charges and expenses and of the maximum amounts thereof which are directly or indirectly borne by investors; </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j) a description of how the AIFM ensures a fair treatment of investors and, whenever an investor obtains preferential treatment or the right to obtain preferential treatment, a description of that preferential treatment, the type of investors who obtain such preferential treatment and, where relevant, their legal or economic links with the AIF or AIFM; </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k) the latest annual report referred to in Article 22 AIFMD; </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l) the procedure and conditions for the issue and sale of units or shares; </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m) the latest net asset value of the AIF or the latest market price of the unit or share of the AIF,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n) where available, the historical performance of the AIF;</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o) the identity of the prime broker and a description of any material arrangements of the AIF with its prime brokers and the way the conflicts of interest in relation thereto are managed and the provision in the contract with the depositary on the possibility of transfer and reuse of AIF assets, and information about any transfer of liability to the prime broker that may exist; </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9D5F24" w:rsidRPr="009D5F24" w:rsidTr="001339C5">
        <w:tc>
          <w:tcPr>
            <w:tcW w:w="808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p) description of how and when the information required under paragraphs 4 and 5 of Article 23 </w:t>
            </w:r>
            <w:r w:rsidRPr="009D5F24">
              <w:rPr>
                <w:rFonts w:ascii="Calibri" w:hAnsi="Calibri" w:cs="Arial"/>
                <w:sz w:val="18"/>
                <w:szCs w:val="18"/>
                <w:lang w:eastAsia="fr-BE"/>
              </w:rPr>
              <w:t>AIFMD</w:t>
            </w:r>
            <w:r w:rsidRPr="009D5F24">
              <w:rPr>
                <w:rFonts w:ascii="Calibri" w:hAnsi="Calibri" w:cs="Arial"/>
                <w:color w:val="000000"/>
                <w:sz w:val="18"/>
                <w:szCs w:val="18"/>
                <w:lang w:eastAsia="fr-BE"/>
              </w:rPr>
              <w:t xml:space="preserve"> will be disclosed.</w:t>
            </w:r>
          </w:p>
        </w:tc>
        <w:tc>
          <w:tcPr>
            <w:tcW w:w="1560" w:type="dxa"/>
          </w:tcPr>
          <w:p w:rsidR="009D5F24" w:rsidRPr="009D5F24" w:rsidRDefault="009D5F24" w:rsidP="009D5F24">
            <w:pPr>
              <w:overflowPunct w:val="0"/>
              <w:autoSpaceDE w:val="0"/>
              <w:autoSpaceDN w:val="0"/>
              <w:adjustRightInd w:val="0"/>
              <w:spacing w:after="0" w:line="240" w:lineRule="auto"/>
              <w:textAlignment w:val="baseline"/>
              <w:rPr>
                <w:rFonts w:ascii="Calibri" w:hAnsi="Calibri" w:cs="Arial"/>
                <w:sz w:val="18"/>
                <w:szCs w:val="18"/>
                <w:lang w:eastAsia="fr-BE"/>
              </w:rPr>
            </w:pPr>
          </w:p>
        </w:tc>
      </w:tr>
    </w:tbl>
    <w:p w:rsidR="00062E1C" w:rsidRDefault="00062E1C" w:rsidP="001339C5">
      <w:pPr>
        <w:spacing w:after="120" w:line="240" w:lineRule="auto"/>
        <w:rPr>
          <w:rFonts w:ascii="Calibri" w:eastAsia="Times New Roman" w:hAnsi="Calibri" w:cs="Times New Roman"/>
          <w:lang w:eastAsia="fr-BE"/>
        </w:rPr>
      </w:pPr>
    </w:p>
    <w:tbl>
      <w:tblPr>
        <w:tblStyle w:val="TableGrid1"/>
        <w:tblW w:w="9640" w:type="dxa"/>
        <w:tblInd w:w="-147" w:type="dxa"/>
        <w:tblLayout w:type="fixed"/>
        <w:tblLook w:val="04A0" w:firstRow="1" w:lastRow="0" w:firstColumn="1" w:lastColumn="0" w:noHBand="0" w:noVBand="1"/>
      </w:tblPr>
      <w:tblGrid>
        <w:gridCol w:w="8080"/>
        <w:gridCol w:w="1560"/>
      </w:tblGrid>
      <w:tr w:rsidR="00062E1C" w:rsidRPr="009D5F24" w:rsidTr="00472B99">
        <w:tc>
          <w:tcPr>
            <w:tcW w:w="808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color w:val="000000"/>
                <w:sz w:val="20"/>
                <w:szCs w:val="20"/>
                <w:lang w:eastAsia="fr-BE"/>
              </w:rPr>
            </w:pPr>
            <w:r w:rsidRPr="009D5F24">
              <w:rPr>
                <w:rFonts w:ascii="Calibri" w:hAnsi="Calibri" w:cs="Arial"/>
                <w:b/>
                <w:color w:val="000000"/>
                <w:sz w:val="20"/>
                <w:szCs w:val="20"/>
                <w:lang w:eastAsia="fr-BE"/>
              </w:rPr>
              <w:lastRenderedPageBreak/>
              <w:t>Information (Art. 23 AIFMD)</w:t>
            </w:r>
            <w:r>
              <w:rPr>
                <w:rFonts w:ascii="Calibri" w:hAnsi="Calibri" w:cs="Arial"/>
                <w:b/>
                <w:color w:val="000000"/>
                <w:sz w:val="20"/>
                <w:szCs w:val="20"/>
                <w:lang w:eastAsia="fr-BE"/>
              </w:rPr>
              <w:t xml:space="preserve"> on [name of the compartment]</w:t>
            </w:r>
          </w:p>
        </w:tc>
        <w:tc>
          <w:tcPr>
            <w:tcW w:w="156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sz w:val="20"/>
                <w:szCs w:val="20"/>
                <w:lang w:eastAsia="fr-BE"/>
              </w:rPr>
            </w:pPr>
            <w:r w:rsidRPr="009D5F24">
              <w:rPr>
                <w:rFonts w:ascii="Calibri" w:hAnsi="Calibri" w:cs="Arial"/>
                <w:b/>
                <w:sz w:val="20"/>
                <w:szCs w:val="20"/>
                <w:lang w:eastAsia="fr-BE"/>
              </w:rPr>
              <w:t>Document and page</w:t>
            </w: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a) a description of the investment strategy and objectives of the AIF</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information on where any master AIF is established and where the underlying funds are established if the AIF is a fund of funds</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a description of the types of assets in which the AIF may invest, the techniques it may employ and all associated risks, any applicable investment restrictions, the circumstances in which the AIF may use leverage, the types and sources of leverage permitted and the associated risks, any restrictions on the use of leverage and any collateral and asset reuse arrangements, and the maximum level of leverage which the AIFM are entitled to employ on behalf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b) a description of the procedures by which the AIF may change its investment strategy or investment policy, or both;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c) a description of the main legal implications of the contractual relationship entered into for the purpose of investment, including information on jurisdiction, on the applicable law and on the existence or not of any legal instruments providing for the recognition and enforcement of judgments in the territory where the AIF is established;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r w:rsidRPr="009D5F24">
              <w:rPr>
                <w:rFonts w:ascii="Calibri" w:hAnsi="Calibri" w:cs="Arial"/>
                <w:color w:val="000000"/>
                <w:sz w:val="18"/>
                <w:szCs w:val="18"/>
                <w:lang w:eastAsia="fr-FR"/>
              </w:rPr>
              <w:t xml:space="preserve">d) the identity of the AIFM, the AIF’s depositary, auditor and any other service providers and a description of their duties and the investors’ rights; </w:t>
            </w:r>
          </w:p>
        </w:tc>
        <w:tc>
          <w:tcPr>
            <w:tcW w:w="156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e) a description of how the AIFM is complying with the requirements of Article 9(7)</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f) a description of any delegated management function as referred to in Annex</w:t>
            </w:r>
            <w:r w:rsidR="008E6829">
              <w:rPr>
                <w:rFonts w:ascii="Calibri" w:hAnsi="Calibri" w:cs="Arial"/>
                <w:color w:val="000000"/>
                <w:sz w:val="18"/>
                <w:szCs w:val="18"/>
                <w:lang w:eastAsia="fr-BE"/>
              </w:rPr>
              <w:t xml:space="preserve"> I by the AIFM and of any safe</w:t>
            </w:r>
            <w:r w:rsidRPr="009D5F24">
              <w:rPr>
                <w:rFonts w:ascii="Calibri" w:hAnsi="Calibri" w:cs="Arial"/>
                <w:color w:val="000000"/>
                <w:sz w:val="18"/>
                <w:szCs w:val="18"/>
                <w:lang w:eastAsia="fr-BE"/>
              </w:rPr>
              <w:t>keeping function delegated by the depositary, the identification of the delegate and any conflicts of interest that may arise from such delegations;</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g) a description of the AIF’s valuation procedure and of the pricing methodology for valuing assets, including the methods used in valuing hard-to-value assets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h) a description of the AIF’s liquidity risk management, including the redemption rights both in normal and in exceptional circumstances, and the existing redemption arrangements with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i) a description of all fees, charges and expenses and of the maximum amounts thereof which are directly or indirectly borne by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j) a description of how the AIFM ensures a fair treatment of investors and, whenever an investor obtains preferential treatment or the right to obtain preferential treatment, a description of that preferential treatment, the type of investors who obtain such preferential treatment and, where relevant, their legal or economic links with the AIF or AIFM;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k) the latest annual report referred to in Article 22 AIFMD;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l) the procedure and conditions for the issue and sale of units or shares;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m) the latest net asset value of the AIF or the latest market price of the unit or share of the AIF,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n) where available, the historical performance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o) the identity of the prime broker and a description of any material arrangements of the AIF with its prime brokers and the way the conflicts of interest in relation thereto are managed and the provision in the contract with the depositary on the possibility of transfer and reuse of AIF assets, and information about any transfer of liability to the prime broker that may exist;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p) description of how and when the information required under paragraphs 4 and 5 of Article 23 </w:t>
            </w:r>
            <w:r w:rsidRPr="009D5F24">
              <w:rPr>
                <w:rFonts w:ascii="Calibri" w:hAnsi="Calibri" w:cs="Arial"/>
                <w:sz w:val="18"/>
                <w:szCs w:val="18"/>
                <w:lang w:eastAsia="fr-BE"/>
              </w:rPr>
              <w:t>AIFMD</w:t>
            </w:r>
            <w:r w:rsidRPr="009D5F24">
              <w:rPr>
                <w:rFonts w:ascii="Calibri" w:hAnsi="Calibri" w:cs="Arial"/>
                <w:color w:val="000000"/>
                <w:sz w:val="18"/>
                <w:szCs w:val="18"/>
                <w:lang w:eastAsia="fr-BE"/>
              </w:rPr>
              <w:t xml:space="preserve"> will be disclosed.</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bl>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tbl>
      <w:tblPr>
        <w:tblStyle w:val="TableGrid1"/>
        <w:tblW w:w="9640" w:type="dxa"/>
        <w:tblInd w:w="-147" w:type="dxa"/>
        <w:tblLayout w:type="fixed"/>
        <w:tblLook w:val="04A0" w:firstRow="1" w:lastRow="0" w:firstColumn="1" w:lastColumn="0" w:noHBand="0" w:noVBand="1"/>
      </w:tblPr>
      <w:tblGrid>
        <w:gridCol w:w="8080"/>
        <w:gridCol w:w="1560"/>
      </w:tblGrid>
      <w:tr w:rsidR="00062E1C" w:rsidRPr="009D5F24" w:rsidTr="00472B99">
        <w:tc>
          <w:tcPr>
            <w:tcW w:w="808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color w:val="000000"/>
                <w:sz w:val="20"/>
                <w:szCs w:val="20"/>
                <w:lang w:eastAsia="fr-BE"/>
              </w:rPr>
            </w:pPr>
            <w:r w:rsidRPr="009D5F24">
              <w:rPr>
                <w:rFonts w:ascii="Calibri" w:hAnsi="Calibri" w:cs="Arial"/>
                <w:b/>
                <w:color w:val="000000"/>
                <w:sz w:val="20"/>
                <w:szCs w:val="20"/>
                <w:lang w:eastAsia="fr-BE"/>
              </w:rPr>
              <w:lastRenderedPageBreak/>
              <w:t>Information (Art. 23 AIFMD)</w:t>
            </w:r>
            <w:r>
              <w:rPr>
                <w:rFonts w:ascii="Calibri" w:hAnsi="Calibri" w:cs="Arial"/>
                <w:b/>
                <w:color w:val="000000"/>
                <w:sz w:val="20"/>
                <w:szCs w:val="20"/>
                <w:lang w:eastAsia="fr-BE"/>
              </w:rPr>
              <w:t xml:space="preserve"> on [name of the compartment]</w:t>
            </w:r>
          </w:p>
        </w:tc>
        <w:tc>
          <w:tcPr>
            <w:tcW w:w="156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sz w:val="20"/>
                <w:szCs w:val="20"/>
                <w:lang w:eastAsia="fr-BE"/>
              </w:rPr>
            </w:pPr>
            <w:r w:rsidRPr="009D5F24">
              <w:rPr>
                <w:rFonts w:ascii="Calibri" w:hAnsi="Calibri" w:cs="Arial"/>
                <w:b/>
                <w:sz w:val="20"/>
                <w:szCs w:val="20"/>
                <w:lang w:eastAsia="fr-BE"/>
              </w:rPr>
              <w:t>Document and page</w:t>
            </w: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a) a description of the investment strategy and objectives of the AIF</w:t>
            </w:r>
            <w:r w:rsidR="008E6829">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information on where any master AIF is established and where the underlying funds are established if the AIF is a fund of funds</w:t>
            </w:r>
            <w:r w:rsidR="008E6829">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a description of the types of assets in which the AIF may invest, the techniques it may employ and all associated risks, any applicable investment restrictions, the circumstances in which the AIF may use leverage, the types and sources of leverage permitted and the associated risks, any restrictions on the use of leverage and any collateral and asset reuse arrangements, and the maximum level of leverage which the AIFM are entitled to employ on behalf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b) a description of the procedures by which the AIF may change its investment strategy or investment policy, or both;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c) a description of the main legal implications of the contractual relationship entered into for the purpose of investment, including information on jurisdiction, on the applicable law and on the existence or not of any legal instruments providing for the recognition and enforcement of judgments in the territory where the AIF is established;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r w:rsidRPr="009D5F24">
              <w:rPr>
                <w:rFonts w:ascii="Calibri" w:hAnsi="Calibri" w:cs="Arial"/>
                <w:color w:val="000000"/>
                <w:sz w:val="18"/>
                <w:szCs w:val="18"/>
                <w:lang w:eastAsia="fr-FR"/>
              </w:rPr>
              <w:t xml:space="preserve">d) the identity of the AIFM, the AIF’s depositary, auditor and any other service providers and a description of their duties and the investors’ rights; </w:t>
            </w:r>
          </w:p>
        </w:tc>
        <w:tc>
          <w:tcPr>
            <w:tcW w:w="156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e) a description of how the AIFM is complying with the requirements of Article 9(7)</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8E682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f) a description of any delegated management function as referred to in Anne</w:t>
            </w:r>
            <w:r w:rsidR="008E6829">
              <w:rPr>
                <w:rFonts w:ascii="Calibri" w:hAnsi="Calibri" w:cs="Arial"/>
                <w:color w:val="000000"/>
                <w:sz w:val="18"/>
                <w:szCs w:val="18"/>
                <w:lang w:eastAsia="fr-BE"/>
              </w:rPr>
              <w:t>x I by the AIFM and of any safe</w:t>
            </w:r>
            <w:r w:rsidRPr="009D5F24">
              <w:rPr>
                <w:rFonts w:ascii="Calibri" w:hAnsi="Calibri" w:cs="Arial"/>
                <w:color w:val="000000"/>
                <w:sz w:val="18"/>
                <w:szCs w:val="18"/>
                <w:lang w:eastAsia="fr-BE"/>
              </w:rPr>
              <w:t>keeping function delegated by the depositary, the identification of the delegate and any conflicts of interest that may arise from such delegations;</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g) a description of the AIF’s valuation procedure and of the pricing methodology for valuing assets, including the methods used in valuing hard-to-value assets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h) a description of the AIF’s liquidity risk management, including the redemption rights both in normal and in exceptional circumstances, and the existing redemption arrangements with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i) a description of all fees, charges and expenses and of the maximum amounts thereof which are directly or indirectly borne by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j) a description of how the AIFM ensures a fair treatment of investors and, whenever an investor obtains preferential treatment or the right to obtain preferential treatment, a description of that preferential treatment, the type of investors who obtain such preferential treatment and, where relevant, their legal or economic links with the AIF or AIFM;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k) the latest annual report referred to in Article 22 AIFMD;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l) the procedure and conditions for the issue and sale of units or shares;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m) the latest net asset value of the AIF or the latest market price of the unit or share of the AIF,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n) where available, the historical performance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o) the identity of the prime broker and a description of any material arrangements of the AIF with its prime brokers and the way the conflicts of interest in relation thereto are managed and the provision in the contract with the depositary on the possibility of transfer and reuse of AIF assets, and information about any transfer of liability to the prime broker that may exist;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p) description of how and when the information required under paragraphs 4 and 5 of Article 23 </w:t>
            </w:r>
            <w:r w:rsidRPr="009D5F24">
              <w:rPr>
                <w:rFonts w:ascii="Calibri" w:hAnsi="Calibri" w:cs="Arial"/>
                <w:sz w:val="18"/>
                <w:szCs w:val="18"/>
                <w:lang w:eastAsia="fr-BE"/>
              </w:rPr>
              <w:t>AIFMD</w:t>
            </w:r>
            <w:r w:rsidRPr="009D5F24">
              <w:rPr>
                <w:rFonts w:ascii="Calibri" w:hAnsi="Calibri" w:cs="Arial"/>
                <w:color w:val="000000"/>
                <w:sz w:val="18"/>
                <w:szCs w:val="18"/>
                <w:lang w:eastAsia="fr-BE"/>
              </w:rPr>
              <w:t xml:space="preserve"> will be disclosed.</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bl>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tbl>
      <w:tblPr>
        <w:tblStyle w:val="TableGrid1"/>
        <w:tblW w:w="9640" w:type="dxa"/>
        <w:tblInd w:w="-147" w:type="dxa"/>
        <w:tblLayout w:type="fixed"/>
        <w:tblLook w:val="04A0" w:firstRow="1" w:lastRow="0" w:firstColumn="1" w:lastColumn="0" w:noHBand="0" w:noVBand="1"/>
      </w:tblPr>
      <w:tblGrid>
        <w:gridCol w:w="8080"/>
        <w:gridCol w:w="1560"/>
      </w:tblGrid>
      <w:tr w:rsidR="00062E1C" w:rsidRPr="009D5F24" w:rsidTr="00472B99">
        <w:tc>
          <w:tcPr>
            <w:tcW w:w="808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color w:val="000000"/>
                <w:sz w:val="20"/>
                <w:szCs w:val="20"/>
                <w:lang w:eastAsia="fr-BE"/>
              </w:rPr>
            </w:pPr>
            <w:r w:rsidRPr="009D5F24">
              <w:rPr>
                <w:rFonts w:ascii="Calibri" w:hAnsi="Calibri" w:cs="Arial"/>
                <w:b/>
                <w:color w:val="000000"/>
                <w:sz w:val="20"/>
                <w:szCs w:val="20"/>
                <w:lang w:eastAsia="fr-BE"/>
              </w:rPr>
              <w:lastRenderedPageBreak/>
              <w:t>Information (Art. 23 AIFMD)</w:t>
            </w:r>
            <w:r>
              <w:rPr>
                <w:rFonts w:ascii="Calibri" w:hAnsi="Calibri" w:cs="Arial"/>
                <w:b/>
                <w:color w:val="000000"/>
                <w:sz w:val="20"/>
                <w:szCs w:val="20"/>
                <w:lang w:eastAsia="fr-BE"/>
              </w:rPr>
              <w:t xml:space="preserve"> on [name of the compartment]</w:t>
            </w:r>
          </w:p>
        </w:tc>
        <w:tc>
          <w:tcPr>
            <w:tcW w:w="156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sz w:val="20"/>
                <w:szCs w:val="20"/>
                <w:lang w:eastAsia="fr-BE"/>
              </w:rPr>
            </w:pPr>
            <w:r w:rsidRPr="009D5F24">
              <w:rPr>
                <w:rFonts w:ascii="Calibri" w:hAnsi="Calibri" w:cs="Arial"/>
                <w:b/>
                <w:sz w:val="20"/>
                <w:szCs w:val="20"/>
                <w:lang w:eastAsia="fr-BE"/>
              </w:rPr>
              <w:t>Document and page</w:t>
            </w: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a) a description of the investment strategy and objectives of the AIF</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information on where any master AIF is established and where the underlying funds are established if the AIF is a fund of funds</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a description of the types of assets in which the AIF may invest, the techniques it may employ and all associated risks, any applicable investment restrictions, the circumstances in which the AIF may use leverage, the types and sources of leverage permitted and the associated risks, any restrictions on the use of leverage and any collateral and asset reuse arrangements, and the maximum level of leverage which the AIFM are entitled to employ on behalf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b) a description of the procedures by which the AIF may change its investment strategy or investment policy, or both;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c) a description of the main legal implications of the contractual relationship entered into for the purpose of investment, including information on jurisdiction, on the applicable law and on the existence or not of any legal instruments providing for the recognition and enforcement of judgments in the territory where the AIF is established;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r w:rsidRPr="009D5F24">
              <w:rPr>
                <w:rFonts w:ascii="Calibri" w:hAnsi="Calibri" w:cs="Arial"/>
                <w:color w:val="000000"/>
                <w:sz w:val="18"/>
                <w:szCs w:val="18"/>
                <w:lang w:eastAsia="fr-FR"/>
              </w:rPr>
              <w:t xml:space="preserve">d) the identity of the AIFM, the AIF’s depositary, auditor and any other service providers and a description of their duties and the investors’ rights; </w:t>
            </w:r>
          </w:p>
        </w:tc>
        <w:tc>
          <w:tcPr>
            <w:tcW w:w="156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e) a description of how the AIFM is complying with the requirements of Article 9(7)</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f) a description of any delegated management function as referred to in Annex</w:t>
            </w:r>
            <w:r w:rsidR="008E6829">
              <w:rPr>
                <w:rFonts w:ascii="Calibri" w:hAnsi="Calibri" w:cs="Arial"/>
                <w:color w:val="000000"/>
                <w:sz w:val="18"/>
                <w:szCs w:val="18"/>
                <w:lang w:eastAsia="fr-BE"/>
              </w:rPr>
              <w:t xml:space="preserve"> I by the AIFM and of any safe</w:t>
            </w:r>
            <w:r w:rsidRPr="009D5F24">
              <w:rPr>
                <w:rFonts w:ascii="Calibri" w:hAnsi="Calibri" w:cs="Arial"/>
                <w:color w:val="000000"/>
                <w:sz w:val="18"/>
                <w:szCs w:val="18"/>
                <w:lang w:eastAsia="fr-BE"/>
              </w:rPr>
              <w:t>keeping function delegated by the depositary, the identification of the delegate and any conflicts of interest that may arise from such delegations;</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g) a description of the AIF’s valuation procedure and of the pricing methodology for valuing assets, including the methods used in valuing hard-to-value assets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h) a description of the AIF’s liquidity risk management, including the redemption rights both in normal and in exceptional circumstances, and the existing redemption arrangements with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i) a description of all fees, charges and expenses and of the maximum amounts thereof which are directly or indirectly borne by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j) a description of how the AIFM ensures a fair treatment of investors and, whenever an investor obtains preferential treatment or the right to obtain preferential treatment, a description of that preferential treatment, the type of investors who obtain such preferential treatment and, where relevant, their legal or economic links with the AIF or AIFM;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k) the latest annual report referred to in Article 22 AIFMD;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l) the procedure and conditions for the issue and sale of units or shares;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m) the latest net asset value of the AIF or the latest market price of the unit or share of the AIF,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n) where available, the historical performance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o) the identity of the prime broker and a description of any material arrangements of the AIF with its prime brokers and the way the conflicts of interest in relation thereto are managed and the provision in the contract with the depositary on the possibility of transfer and reuse of AIF assets, and information about any transfer of liability to the prime broker that may exist;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p) description of how and when the information required under paragraphs 4 and 5 of Article 23 </w:t>
            </w:r>
            <w:r w:rsidRPr="009D5F24">
              <w:rPr>
                <w:rFonts w:ascii="Calibri" w:hAnsi="Calibri" w:cs="Arial"/>
                <w:sz w:val="18"/>
                <w:szCs w:val="18"/>
                <w:lang w:eastAsia="fr-BE"/>
              </w:rPr>
              <w:t>AIFMD</w:t>
            </w:r>
            <w:r w:rsidRPr="009D5F24">
              <w:rPr>
                <w:rFonts w:ascii="Calibri" w:hAnsi="Calibri" w:cs="Arial"/>
                <w:color w:val="000000"/>
                <w:sz w:val="18"/>
                <w:szCs w:val="18"/>
                <w:lang w:eastAsia="fr-BE"/>
              </w:rPr>
              <w:t xml:space="preserve"> will be disclosed.</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bl>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tbl>
      <w:tblPr>
        <w:tblStyle w:val="TableGrid1"/>
        <w:tblW w:w="9640" w:type="dxa"/>
        <w:tblInd w:w="-147" w:type="dxa"/>
        <w:tblLayout w:type="fixed"/>
        <w:tblLook w:val="04A0" w:firstRow="1" w:lastRow="0" w:firstColumn="1" w:lastColumn="0" w:noHBand="0" w:noVBand="1"/>
      </w:tblPr>
      <w:tblGrid>
        <w:gridCol w:w="8080"/>
        <w:gridCol w:w="1560"/>
      </w:tblGrid>
      <w:tr w:rsidR="00062E1C" w:rsidRPr="009D5F24" w:rsidTr="00472B99">
        <w:tc>
          <w:tcPr>
            <w:tcW w:w="808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color w:val="000000"/>
                <w:sz w:val="20"/>
                <w:szCs w:val="20"/>
                <w:lang w:eastAsia="fr-BE"/>
              </w:rPr>
            </w:pPr>
            <w:r w:rsidRPr="009D5F24">
              <w:rPr>
                <w:rFonts w:ascii="Calibri" w:hAnsi="Calibri" w:cs="Arial"/>
                <w:b/>
                <w:color w:val="000000"/>
                <w:sz w:val="20"/>
                <w:szCs w:val="20"/>
                <w:lang w:eastAsia="fr-BE"/>
              </w:rPr>
              <w:t>Information (Art. 23 AIFMD)</w:t>
            </w:r>
            <w:r>
              <w:rPr>
                <w:rFonts w:ascii="Calibri" w:hAnsi="Calibri" w:cs="Arial"/>
                <w:b/>
                <w:color w:val="000000"/>
                <w:sz w:val="20"/>
                <w:szCs w:val="20"/>
                <w:lang w:eastAsia="fr-BE"/>
              </w:rPr>
              <w:t xml:space="preserve"> on [name of the compartment]</w:t>
            </w:r>
          </w:p>
        </w:tc>
        <w:tc>
          <w:tcPr>
            <w:tcW w:w="156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sz w:val="20"/>
                <w:szCs w:val="20"/>
                <w:lang w:eastAsia="fr-BE"/>
              </w:rPr>
            </w:pPr>
            <w:r w:rsidRPr="009D5F24">
              <w:rPr>
                <w:rFonts w:ascii="Calibri" w:hAnsi="Calibri" w:cs="Arial"/>
                <w:b/>
                <w:sz w:val="20"/>
                <w:szCs w:val="20"/>
                <w:lang w:eastAsia="fr-BE"/>
              </w:rPr>
              <w:t>Document and page</w:t>
            </w: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a) a description of the investment strategy and objectives of the AIF</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information on where any master AIF is established and where the underlying funds are established if the AIF is a fund of funds</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a description of the types of assets in which the AIF may invest, the techniques it may employ and all associated risks, any applicable investment restrictions, the circumstances in which the AIF may use leverage, the types and sources of leverage permitted and the associated risks, any restrictions on the use of leverage and any collateral and asset reuse arrangements, and the maximum level of leverage which the AIFM are entitled to employ on behalf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b) a description of the procedures by which the AIF may change its investment strategy or investment policy, or both;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c) a description of the main legal implications of the contractual relationship entered into for the purpose of investment, including information on jurisdiction, on the applicable law and on the existence or not of any legal instruments providing for the recognition and enforcement of judgments in the territory where the AIF is established;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r w:rsidRPr="009D5F24">
              <w:rPr>
                <w:rFonts w:ascii="Calibri" w:hAnsi="Calibri" w:cs="Arial"/>
                <w:color w:val="000000"/>
                <w:sz w:val="18"/>
                <w:szCs w:val="18"/>
                <w:lang w:eastAsia="fr-FR"/>
              </w:rPr>
              <w:t xml:space="preserve">d) the identity of the AIFM, the AIF’s depositary, auditor and any other service providers and a description of their duties and the investors’ rights; </w:t>
            </w:r>
          </w:p>
        </w:tc>
        <w:tc>
          <w:tcPr>
            <w:tcW w:w="156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e) a description of how the AIFM is complying with the requirements of Article 9(7)</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f) a description of any delegated management function as referred to in Annex I by the </w:t>
            </w:r>
            <w:r w:rsidR="008E6829">
              <w:rPr>
                <w:rFonts w:ascii="Calibri" w:hAnsi="Calibri" w:cs="Arial"/>
                <w:color w:val="000000"/>
                <w:sz w:val="18"/>
                <w:szCs w:val="18"/>
                <w:lang w:eastAsia="fr-BE"/>
              </w:rPr>
              <w:t>AIFM and of any safe</w:t>
            </w:r>
            <w:r w:rsidRPr="009D5F24">
              <w:rPr>
                <w:rFonts w:ascii="Calibri" w:hAnsi="Calibri" w:cs="Arial"/>
                <w:color w:val="000000"/>
                <w:sz w:val="18"/>
                <w:szCs w:val="18"/>
                <w:lang w:eastAsia="fr-BE"/>
              </w:rPr>
              <w:t>keeping function delegated by the depositary, the identification of the delegate and any conflicts of interest that may arise from such delegations;</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g) a description of the AIF’s valuation procedure and of the pricing methodology for valuing assets, including the methods used in valuing hard-to-value assets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h) a description of the AIF’s liquidity risk management, including the redemption rights both in normal and in exceptional circumstances, and the existing redemption arrangements with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i) a description of all fees, charges and expenses and of the maximum amounts thereof which are directly or indirectly borne by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j) a description of how the AIFM ensures a fair treatment of investors and, whenever an investor obtains preferential treatment or the right to obtain preferential treatment, a description of that preferential treatment, the type of investors who obtain such preferential treatment and, where relevant, their legal or economic links with the AIF or AIFM;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k) the latest annual report referred to in Article 22 AIFMD;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l) the procedure and conditions for the issue and sale of units or shares;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m) the latest net asset value of the AIF or the latest market price of the unit or share of the AIF,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n) where available, the historical performance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o) the identity of the prime broker and a description of any material arrangements of the AIF with its prime brokers and the way the conflicts of interest in relation thereto are managed and the provision in the contract with the depositary on the possibility of transfer and reuse of AIF assets, and information about any transfer of liability to the prime broker that may exist;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p) description of how and when the information required under paragraphs 4 and 5 of Article 23 </w:t>
            </w:r>
            <w:r w:rsidRPr="009D5F24">
              <w:rPr>
                <w:rFonts w:ascii="Calibri" w:hAnsi="Calibri" w:cs="Arial"/>
                <w:sz w:val="18"/>
                <w:szCs w:val="18"/>
                <w:lang w:eastAsia="fr-BE"/>
              </w:rPr>
              <w:t>AIFMD</w:t>
            </w:r>
            <w:r w:rsidRPr="009D5F24">
              <w:rPr>
                <w:rFonts w:ascii="Calibri" w:hAnsi="Calibri" w:cs="Arial"/>
                <w:color w:val="000000"/>
                <w:sz w:val="18"/>
                <w:szCs w:val="18"/>
                <w:lang w:eastAsia="fr-BE"/>
              </w:rPr>
              <w:t xml:space="preserve"> will be disclosed.</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bl>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tbl>
      <w:tblPr>
        <w:tblStyle w:val="TableGrid1"/>
        <w:tblW w:w="9640" w:type="dxa"/>
        <w:tblInd w:w="-147" w:type="dxa"/>
        <w:tblLayout w:type="fixed"/>
        <w:tblLook w:val="04A0" w:firstRow="1" w:lastRow="0" w:firstColumn="1" w:lastColumn="0" w:noHBand="0" w:noVBand="1"/>
      </w:tblPr>
      <w:tblGrid>
        <w:gridCol w:w="8080"/>
        <w:gridCol w:w="1560"/>
      </w:tblGrid>
      <w:tr w:rsidR="00062E1C" w:rsidRPr="009D5F24" w:rsidTr="00472B99">
        <w:tc>
          <w:tcPr>
            <w:tcW w:w="808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color w:val="000000"/>
                <w:sz w:val="20"/>
                <w:szCs w:val="20"/>
                <w:lang w:eastAsia="fr-BE"/>
              </w:rPr>
            </w:pPr>
            <w:r w:rsidRPr="009D5F24">
              <w:rPr>
                <w:rFonts w:ascii="Calibri" w:hAnsi="Calibri" w:cs="Arial"/>
                <w:b/>
                <w:color w:val="000000"/>
                <w:sz w:val="20"/>
                <w:szCs w:val="20"/>
                <w:lang w:eastAsia="fr-BE"/>
              </w:rPr>
              <w:lastRenderedPageBreak/>
              <w:t>Information (Art. 23 AIFMD)</w:t>
            </w:r>
            <w:r>
              <w:rPr>
                <w:rFonts w:ascii="Calibri" w:hAnsi="Calibri" w:cs="Arial"/>
                <w:b/>
                <w:color w:val="000000"/>
                <w:sz w:val="20"/>
                <w:szCs w:val="20"/>
                <w:lang w:eastAsia="fr-BE"/>
              </w:rPr>
              <w:t xml:space="preserve"> on [name of the compartment]</w:t>
            </w:r>
          </w:p>
        </w:tc>
        <w:tc>
          <w:tcPr>
            <w:tcW w:w="156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sz w:val="20"/>
                <w:szCs w:val="20"/>
                <w:lang w:eastAsia="fr-BE"/>
              </w:rPr>
            </w:pPr>
            <w:r w:rsidRPr="009D5F24">
              <w:rPr>
                <w:rFonts w:ascii="Calibri" w:hAnsi="Calibri" w:cs="Arial"/>
                <w:b/>
                <w:sz w:val="20"/>
                <w:szCs w:val="20"/>
                <w:lang w:eastAsia="fr-BE"/>
              </w:rPr>
              <w:t>Document and page</w:t>
            </w: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a) a description of the investment strategy and objectives of the AIF</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information on where any master AIF is established and where the underlying funds are established if the AIF is a fund of funds</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a description of the types of assets in which the AIF may invest, the techniques it may employ and all associated risks, any applicable investment restrictions, the circumstances in which the AIF may use leverage, the types and sources of leverage permitted and the associated risks, any restrictions on the use of leverage and any collateral and asset reuse arrangements, and the maximum level of leverage which the AIFM are entitled to employ on behalf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b) a description of the procedures by which the AIF may change its investment strategy or investment policy, or both;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c) a description of the main legal implications of the contractual relationship entered into for the purpose of investment, including information on jurisdiction, on the applicable law and on the existence or not of any legal instruments providing for the recognition and enforcement of judgments in the territory where the AIF is established;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r w:rsidRPr="009D5F24">
              <w:rPr>
                <w:rFonts w:ascii="Calibri" w:hAnsi="Calibri" w:cs="Arial"/>
                <w:color w:val="000000"/>
                <w:sz w:val="18"/>
                <w:szCs w:val="18"/>
                <w:lang w:eastAsia="fr-FR"/>
              </w:rPr>
              <w:t xml:space="preserve">d) the identity of the AIFM, the AIF’s depositary, auditor and any other service providers and a description of their duties and the investors’ rights; </w:t>
            </w:r>
          </w:p>
        </w:tc>
        <w:tc>
          <w:tcPr>
            <w:tcW w:w="156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e) a description of how the AIFM is complying with the requirements of Article 9(7)</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f) a description of any delegated management function as referred to in Annex</w:t>
            </w:r>
            <w:r w:rsidR="008E6829">
              <w:rPr>
                <w:rFonts w:ascii="Calibri" w:hAnsi="Calibri" w:cs="Arial"/>
                <w:color w:val="000000"/>
                <w:sz w:val="18"/>
                <w:szCs w:val="18"/>
                <w:lang w:eastAsia="fr-BE"/>
              </w:rPr>
              <w:t xml:space="preserve"> I by the AIFM and of any safe</w:t>
            </w:r>
            <w:r w:rsidRPr="009D5F24">
              <w:rPr>
                <w:rFonts w:ascii="Calibri" w:hAnsi="Calibri" w:cs="Arial"/>
                <w:color w:val="000000"/>
                <w:sz w:val="18"/>
                <w:szCs w:val="18"/>
                <w:lang w:eastAsia="fr-BE"/>
              </w:rPr>
              <w:t>keeping function delegated by the depositary, the identification of the delegate and any conflicts of interest that may arise from such delegations;</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g) a description of the AIF’s valuation procedure and of the pricing methodology for valuing assets, including the methods used in valuing hard-to-value assets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h) a description of the AIF’s liquidity risk management, including the redemption rights both in normal and in exceptional circumstances, and the existing redemption arrangements with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i) a description of all fees, charges and expenses and of the maximum amounts thereof which are directly or indirectly borne by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j) a description of how the AIFM ensures a fair treatment of investors and, whenever an investor obtains preferential treatment or the right to obtain preferential treatment, a description of that preferential treatment, the type of investors who obtain such preferential treatment and, where relevant, their legal or economic links with the AIF or AIFM;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k) the latest annual report referred to in Article 22 AIFMD;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l) the procedure and conditions for the issue and sale of units or shares;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m) the latest net asset value of the AIF or the latest market price of the unit or share of the AIF,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n) where available, the historical performance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o) the identity of the prime broker and a description of any material arrangements of the AIF with its prime brokers and the way the conflicts of interest in relation thereto are managed and the provision in the contract with the depositary on the possibility of transfer and reuse of AIF assets, and information about any transfer of liability to the prime broker that may exist;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p) description of how and when the information required under paragraphs 4 and 5 of Article 23 </w:t>
            </w:r>
            <w:r w:rsidRPr="009D5F24">
              <w:rPr>
                <w:rFonts w:ascii="Calibri" w:hAnsi="Calibri" w:cs="Arial"/>
                <w:sz w:val="18"/>
                <w:szCs w:val="18"/>
                <w:lang w:eastAsia="fr-BE"/>
              </w:rPr>
              <w:t>AIFMD</w:t>
            </w:r>
            <w:r w:rsidRPr="009D5F24">
              <w:rPr>
                <w:rFonts w:ascii="Calibri" w:hAnsi="Calibri" w:cs="Arial"/>
                <w:color w:val="000000"/>
                <w:sz w:val="18"/>
                <w:szCs w:val="18"/>
                <w:lang w:eastAsia="fr-BE"/>
              </w:rPr>
              <w:t xml:space="preserve"> will be disclosed.</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bl>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tbl>
      <w:tblPr>
        <w:tblStyle w:val="TableGrid1"/>
        <w:tblW w:w="9640" w:type="dxa"/>
        <w:tblInd w:w="-147" w:type="dxa"/>
        <w:tblLayout w:type="fixed"/>
        <w:tblLook w:val="04A0" w:firstRow="1" w:lastRow="0" w:firstColumn="1" w:lastColumn="0" w:noHBand="0" w:noVBand="1"/>
      </w:tblPr>
      <w:tblGrid>
        <w:gridCol w:w="8080"/>
        <w:gridCol w:w="1560"/>
      </w:tblGrid>
      <w:tr w:rsidR="00062E1C" w:rsidRPr="009D5F24" w:rsidTr="00472B99">
        <w:tc>
          <w:tcPr>
            <w:tcW w:w="808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color w:val="000000"/>
                <w:sz w:val="20"/>
                <w:szCs w:val="20"/>
                <w:lang w:eastAsia="fr-BE"/>
              </w:rPr>
            </w:pPr>
            <w:r w:rsidRPr="009D5F24">
              <w:rPr>
                <w:rFonts w:ascii="Calibri" w:hAnsi="Calibri" w:cs="Arial"/>
                <w:b/>
                <w:color w:val="000000"/>
                <w:sz w:val="20"/>
                <w:szCs w:val="20"/>
                <w:lang w:eastAsia="fr-BE"/>
              </w:rPr>
              <w:lastRenderedPageBreak/>
              <w:t>Information (Art. 23 AIFMD)</w:t>
            </w:r>
            <w:r>
              <w:rPr>
                <w:rFonts w:ascii="Calibri" w:hAnsi="Calibri" w:cs="Arial"/>
                <w:b/>
                <w:color w:val="000000"/>
                <w:sz w:val="20"/>
                <w:szCs w:val="20"/>
                <w:lang w:eastAsia="fr-BE"/>
              </w:rPr>
              <w:t xml:space="preserve"> on [name of the compartment]</w:t>
            </w:r>
          </w:p>
        </w:tc>
        <w:tc>
          <w:tcPr>
            <w:tcW w:w="156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sz w:val="20"/>
                <w:szCs w:val="20"/>
                <w:lang w:eastAsia="fr-BE"/>
              </w:rPr>
            </w:pPr>
            <w:r w:rsidRPr="009D5F24">
              <w:rPr>
                <w:rFonts w:ascii="Calibri" w:hAnsi="Calibri" w:cs="Arial"/>
                <w:b/>
                <w:sz w:val="20"/>
                <w:szCs w:val="20"/>
                <w:lang w:eastAsia="fr-BE"/>
              </w:rPr>
              <w:t>Document and page</w:t>
            </w: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a) a description of the investment strategy and objectives of the AIF</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information on where any master AIF is established and where the underlying funds are established if the AIF is a fund of funds</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a description of the types of assets in which the AIF may invest, the techniques it may employ and all associated risks, any applicable investment restrictions, the circumstances in which the AIF may use leverage, the types and sources of leverage permitted and the associated risks, any restrictions on the use of leverage and any collateral and asset reuse arrangements, and the maximum level of leverage which the AIFM are entitled to employ on behalf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b) a description of the procedures by which the AIF may change its investment strategy or investment policy, or both;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c) a description of the main legal implications of the contractual relationship entered into for the purpose of investment, including information on jurisdiction, on the applicable law and on the existence or not of any legal instruments providing for the recognition and enforcement of judgments in the territory where the AIF is established;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r w:rsidRPr="009D5F24">
              <w:rPr>
                <w:rFonts w:ascii="Calibri" w:hAnsi="Calibri" w:cs="Arial"/>
                <w:color w:val="000000"/>
                <w:sz w:val="18"/>
                <w:szCs w:val="18"/>
                <w:lang w:eastAsia="fr-FR"/>
              </w:rPr>
              <w:t xml:space="preserve">d) the identity of the AIFM, the AIF’s depositary, auditor and any other service providers and a description of their duties and the investors’ rights; </w:t>
            </w:r>
          </w:p>
        </w:tc>
        <w:tc>
          <w:tcPr>
            <w:tcW w:w="156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e) a description of how the AIFM is complying with the requirements of Article 9(7)</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f) a description of any delegated management function as referred to in Annex</w:t>
            </w:r>
            <w:r w:rsidR="008E6829">
              <w:rPr>
                <w:rFonts w:ascii="Calibri" w:hAnsi="Calibri" w:cs="Arial"/>
                <w:color w:val="000000"/>
                <w:sz w:val="18"/>
                <w:szCs w:val="18"/>
                <w:lang w:eastAsia="fr-BE"/>
              </w:rPr>
              <w:t xml:space="preserve"> I by the AIFM and of any safe</w:t>
            </w:r>
            <w:r w:rsidRPr="009D5F24">
              <w:rPr>
                <w:rFonts w:ascii="Calibri" w:hAnsi="Calibri" w:cs="Arial"/>
                <w:color w:val="000000"/>
                <w:sz w:val="18"/>
                <w:szCs w:val="18"/>
                <w:lang w:eastAsia="fr-BE"/>
              </w:rPr>
              <w:t>keeping function delegated by the depositary, the identification of the delegate and any conflicts of interest that may arise from such delegations;</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g) a description of the AIF’s valuation procedure and of the pricing methodology for valuing assets, including the methods used in valuing hard-to-value assets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h) a description of the AIF’s liquidity risk management, including the redemption rights both in normal and in exceptional circumstances, and the existing redemption arrangements with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i) a description of all fees, charges and expenses and of the maximum amounts thereof which are directly or indirectly borne by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j) a description of how the AIFM ensures a fair treatment of investors and, whenever an investor obtains preferential treatment or the right to obtain preferential treatment, a description of that preferential treatment, the type of investors who obtain such preferential treatment and, where relevant, their legal or economic links with the AIF or AIFM;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k) the latest annual report referred to in Article 22 AIFMD;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l) the procedure and conditions for the issue and sale of units or shares;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m) the latest net asset value of the AIF or the latest market price of the unit or share of the AIF,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n) where available, the historical performance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o) the identity of the prime broker and a description of any material arrangements of the AIF with its prime brokers and the way the conflicts of interest in relation thereto are managed and the provision in the contract with the depositary on the possibility of transfer and reuse of AIF assets, and information about any transfer of liability to the prime broker that may exist;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p) description of how and when the information required under paragraphs 4 and 5 of Article 23 </w:t>
            </w:r>
            <w:r w:rsidRPr="009D5F24">
              <w:rPr>
                <w:rFonts w:ascii="Calibri" w:hAnsi="Calibri" w:cs="Arial"/>
                <w:sz w:val="18"/>
                <w:szCs w:val="18"/>
                <w:lang w:eastAsia="fr-BE"/>
              </w:rPr>
              <w:t>AIFMD</w:t>
            </w:r>
            <w:r w:rsidRPr="009D5F24">
              <w:rPr>
                <w:rFonts w:ascii="Calibri" w:hAnsi="Calibri" w:cs="Arial"/>
                <w:color w:val="000000"/>
                <w:sz w:val="18"/>
                <w:szCs w:val="18"/>
                <w:lang w:eastAsia="fr-BE"/>
              </w:rPr>
              <w:t xml:space="preserve"> will be disclosed.</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bl>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tbl>
      <w:tblPr>
        <w:tblStyle w:val="TableGrid1"/>
        <w:tblW w:w="9640" w:type="dxa"/>
        <w:tblInd w:w="-147" w:type="dxa"/>
        <w:tblLayout w:type="fixed"/>
        <w:tblLook w:val="04A0" w:firstRow="1" w:lastRow="0" w:firstColumn="1" w:lastColumn="0" w:noHBand="0" w:noVBand="1"/>
      </w:tblPr>
      <w:tblGrid>
        <w:gridCol w:w="8080"/>
        <w:gridCol w:w="1560"/>
      </w:tblGrid>
      <w:tr w:rsidR="00062E1C" w:rsidRPr="009D5F24" w:rsidTr="00472B99">
        <w:tc>
          <w:tcPr>
            <w:tcW w:w="808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color w:val="000000"/>
                <w:sz w:val="20"/>
                <w:szCs w:val="20"/>
                <w:lang w:eastAsia="fr-BE"/>
              </w:rPr>
            </w:pPr>
            <w:r w:rsidRPr="009D5F24">
              <w:rPr>
                <w:rFonts w:ascii="Calibri" w:hAnsi="Calibri" w:cs="Arial"/>
                <w:b/>
                <w:color w:val="000000"/>
                <w:sz w:val="20"/>
                <w:szCs w:val="20"/>
                <w:lang w:eastAsia="fr-BE"/>
              </w:rPr>
              <w:lastRenderedPageBreak/>
              <w:t>Information (Art. 23 AIFMD)</w:t>
            </w:r>
            <w:r>
              <w:rPr>
                <w:rFonts w:ascii="Calibri" w:hAnsi="Calibri" w:cs="Arial"/>
                <w:b/>
                <w:color w:val="000000"/>
                <w:sz w:val="20"/>
                <w:szCs w:val="20"/>
                <w:lang w:eastAsia="fr-BE"/>
              </w:rPr>
              <w:t xml:space="preserve"> on [name of the compartment]</w:t>
            </w:r>
          </w:p>
        </w:tc>
        <w:tc>
          <w:tcPr>
            <w:tcW w:w="156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sz w:val="20"/>
                <w:szCs w:val="20"/>
                <w:lang w:eastAsia="fr-BE"/>
              </w:rPr>
            </w:pPr>
            <w:r w:rsidRPr="009D5F24">
              <w:rPr>
                <w:rFonts w:ascii="Calibri" w:hAnsi="Calibri" w:cs="Arial"/>
                <w:b/>
                <w:sz w:val="20"/>
                <w:szCs w:val="20"/>
                <w:lang w:eastAsia="fr-BE"/>
              </w:rPr>
              <w:t>Document and page</w:t>
            </w: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a) a description of the investment strategy and objectives of the AIF</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information on where any master AIF is established and where the underlying funds are established if the AIF is a fund of funds</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a description of the types of assets in which the AIF may invest, the techniques it may employ and all associated risks, any applicable investment restrictions, the circumstances in which the AIF may use leverage, the types and sources of leverage permitted and the associated risks, any restrictions on the use of leverage and any collateral and asset reuse arrangements, and the maximum level of leverage which the AIFM are entitled to employ on behalf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b) a description of the procedures by which the AIF may change its investment strategy or investment policy, or both;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c) a description of the main legal implications of the contractual relationship entered into for the purpose of investment, including information on jurisdiction, on the applicable law and on the existence or not of any legal instruments providing for the recognition and enforcement of judgments in the territory where the AIF is established;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r w:rsidRPr="009D5F24">
              <w:rPr>
                <w:rFonts w:ascii="Calibri" w:hAnsi="Calibri" w:cs="Arial"/>
                <w:color w:val="000000"/>
                <w:sz w:val="18"/>
                <w:szCs w:val="18"/>
                <w:lang w:eastAsia="fr-FR"/>
              </w:rPr>
              <w:t xml:space="preserve">d) the identity of the AIFM, the AIF’s depositary, auditor and any other service providers and a description of their duties and the investors’ rights; </w:t>
            </w:r>
          </w:p>
        </w:tc>
        <w:tc>
          <w:tcPr>
            <w:tcW w:w="156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e) a description of how the AIFM is complying with the requirements of Article 9(7)</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f) a description of any delegated management function as referred to in Annex</w:t>
            </w:r>
            <w:r w:rsidR="008E6829">
              <w:rPr>
                <w:rFonts w:ascii="Calibri" w:hAnsi="Calibri" w:cs="Arial"/>
                <w:color w:val="000000"/>
                <w:sz w:val="18"/>
                <w:szCs w:val="18"/>
                <w:lang w:eastAsia="fr-BE"/>
              </w:rPr>
              <w:t xml:space="preserve"> I by the AIFM and of any safe</w:t>
            </w:r>
            <w:r w:rsidRPr="009D5F24">
              <w:rPr>
                <w:rFonts w:ascii="Calibri" w:hAnsi="Calibri" w:cs="Arial"/>
                <w:color w:val="000000"/>
                <w:sz w:val="18"/>
                <w:szCs w:val="18"/>
                <w:lang w:eastAsia="fr-BE"/>
              </w:rPr>
              <w:t>keeping function delegated by the depositary, the identification of the delegate and any conflicts of interest that may arise from such delegations;</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g) a description of the AIF’s valuation procedure and of the pricing methodology for valuing assets, including the methods used in valuing hard-to-value assets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h) a description of the AIF’s liquidity risk management, including the redemption rights both in normal and in exceptional circumstances, and the existing redemption arrangements with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i) a description of all fees, charges and expenses and of the maximum amounts thereof which are directly or indirectly borne by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j) a description of how the AIFM ensures a fair treatment of investors and, whenever an investor obtains preferential treatment or the right to obtain preferential treatment, a description of that preferential treatment, the type of investors who obtain such preferential treatment and, where relevant, their legal or economic links with the AIF or AIFM;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k) the latest annual report referred to in Article 22 AIFMD;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l) the procedure and conditions for the issue and sale of units or shares;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m) the latest net asset value of the AIF or the latest market price of the unit or share of the AIF,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n) where available, the historical performance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o) the identity of the prime broker and a description of any material arrangements of the AIF with its prime brokers and the way the conflicts of interest in relation thereto are managed and the provision in the contract with the depositary on the possibility of transfer and reuse of AIF assets, and information about any transfer of liability to the prime broker that may exist;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p) description of how and when the information required under paragraphs 4 and 5 of Article 23 </w:t>
            </w:r>
            <w:r w:rsidRPr="009D5F24">
              <w:rPr>
                <w:rFonts w:ascii="Calibri" w:hAnsi="Calibri" w:cs="Arial"/>
                <w:sz w:val="18"/>
                <w:szCs w:val="18"/>
                <w:lang w:eastAsia="fr-BE"/>
              </w:rPr>
              <w:t>AIFMD</w:t>
            </w:r>
            <w:r w:rsidRPr="009D5F24">
              <w:rPr>
                <w:rFonts w:ascii="Calibri" w:hAnsi="Calibri" w:cs="Arial"/>
                <w:color w:val="000000"/>
                <w:sz w:val="18"/>
                <w:szCs w:val="18"/>
                <w:lang w:eastAsia="fr-BE"/>
              </w:rPr>
              <w:t xml:space="preserve"> will be disclosed.</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bl>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tbl>
      <w:tblPr>
        <w:tblStyle w:val="TableGrid1"/>
        <w:tblW w:w="9640" w:type="dxa"/>
        <w:tblInd w:w="-147" w:type="dxa"/>
        <w:tblLayout w:type="fixed"/>
        <w:tblLook w:val="04A0" w:firstRow="1" w:lastRow="0" w:firstColumn="1" w:lastColumn="0" w:noHBand="0" w:noVBand="1"/>
      </w:tblPr>
      <w:tblGrid>
        <w:gridCol w:w="8080"/>
        <w:gridCol w:w="1560"/>
      </w:tblGrid>
      <w:tr w:rsidR="00062E1C" w:rsidRPr="009D5F24" w:rsidTr="00472B99">
        <w:tc>
          <w:tcPr>
            <w:tcW w:w="808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color w:val="000000"/>
                <w:sz w:val="20"/>
                <w:szCs w:val="20"/>
                <w:lang w:eastAsia="fr-BE"/>
              </w:rPr>
            </w:pPr>
            <w:r w:rsidRPr="009D5F24">
              <w:rPr>
                <w:rFonts w:ascii="Calibri" w:hAnsi="Calibri" w:cs="Arial"/>
                <w:b/>
                <w:color w:val="000000"/>
                <w:sz w:val="20"/>
                <w:szCs w:val="20"/>
                <w:lang w:eastAsia="fr-BE"/>
              </w:rPr>
              <w:lastRenderedPageBreak/>
              <w:t>Information (Art. 23 AIFMD)</w:t>
            </w:r>
            <w:r>
              <w:rPr>
                <w:rFonts w:ascii="Calibri" w:hAnsi="Calibri" w:cs="Arial"/>
                <w:b/>
                <w:color w:val="000000"/>
                <w:sz w:val="20"/>
                <w:szCs w:val="20"/>
                <w:lang w:eastAsia="fr-BE"/>
              </w:rPr>
              <w:t xml:space="preserve"> on [name of the compartment]</w:t>
            </w:r>
          </w:p>
        </w:tc>
        <w:tc>
          <w:tcPr>
            <w:tcW w:w="156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sz w:val="20"/>
                <w:szCs w:val="20"/>
                <w:lang w:eastAsia="fr-BE"/>
              </w:rPr>
            </w:pPr>
            <w:r w:rsidRPr="009D5F24">
              <w:rPr>
                <w:rFonts w:ascii="Calibri" w:hAnsi="Calibri" w:cs="Arial"/>
                <w:b/>
                <w:sz w:val="20"/>
                <w:szCs w:val="20"/>
                <w:lang w:eastAsia="fr-BE"/>
              </w:rPr>
              <w:t>Document and page</w:t>
            </w: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a) a description of the investment strategy and objectives of the AIF</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information on where any master AIF is established and where the underlying funds are established if the AIF is a fund of funds</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a description of the types of assets in which the AIF may invest, the techniques it may employ and all associated risks, any applicable investment restrictions, the circumstances in which the AIF may use leverage, the types and sources of leverage permitted and the associated risks, any restrictions on the use of leverage and any collateral and asset reuse arrangements, and the maximum level of leverage which the AIFM are entitled to employ on behalf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b) a description of the procedures by which the AIF may change its investment strategy or investment policy, or both;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c) a description of the main legal implications of the contractual relationship entered into for the purpose of investment, including information on jurisdiction, on the applicable law and on the existence or not of any legal instruments providing for the recognition and enforcement of judgments in the territory where the AIF is established;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r w:rsidRPr="009D5F24">
              <w:rPr>
                <w:rFonts w:ascii="Calibri" w:hAnsi="Calibri" w:cs="Arial"/>
                <w:color w:val="000000"/>
                <w:sz w:val="18"/>
                <w:szCs w:val="18"/>
                <w:lang w:eastAsia="fr-FR"/>
              </w:rPr>
              <w:t xml:space="preserve">d) the identity of the AIFM, the AIF’s depositary, auditor and any other service providers and a description of their duties and the investors’ rights; </w:t>
            </w:r>
          </w:p>
        </w:tc>
        <w:tc>
          <w:tcPr>
            <w:tcW w:w="156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e) a description of how the AIFM is complying with the requirements of Article 9(7)</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f) a description of any delegated management function as referred to in Annex</w:t>
            </w:r>
            <w:r w:rsidR="008E6829">
              <w:rPr>
                <w:rFonts w:ascii="Calibri" w:hAnsi="Calibri" w:cs="Arial"/>
                <w:color w:val="000000"/>
                <w:sz w:val="18"/>
                <w:szCs w:val="18"/>
                <w:lang w:eastAsia="fr-BE"/>
              </w:rPr>
              <w:t xml:space="preserve"> I by the AIFM and of any safe</w:t>
            </w:r>
            <w:r w:rsidRPr="009D5F24">
              <w:rPr>
                <w:rFonts w:ascii="Calibri" w:hAnsi="Calibri" w:cs="Arial"/>
                <w:color w:val="000000"/>
                <w:sz w:val="18"/>
                <w:szCs w:val="18"/>
                <w:lang w:eastAsia="fr-BE"/>
              </w:rPr>
              <w:t>keeping function delegated by the depositary, the identification of the delegate and any conflicts of interest that may arise from such delegations;</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g) a description of the AIF’s valuation procedure and of the pricing methodology for valuing assets, including the methods used in valuing hard-to-value assets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h) a description of the AIF’s liquidity risk management, including the redemption rights both in normal and in exceptional circumstances, and the existing redemption arrangements with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i) a description of all fees, charges and expenses and of the maximum amounts thereof which are directly or indirectly borne by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j) a description of how the AIFM ensures a fair treatment of investors and, whenever an investor obtains preferential treatment or the right to obtain preferential treatment, a description of that preferential treatment, the type of investors who obtain such preferential treatment and, where relevant, their legal or economic links with the AIF or AIFM;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k) the latest annual report referred to in Article 22 AIFMD;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l) the procedure and conditions for the issue and sale of units or shares;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m) the latest net asset value of the AIF or the latest market price of the unit or share of the AIF,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n) where available, the historical performance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o) the identity of the prime broker and a description of any material arrangements of the AIF with its prime brokers and the way the conflicts of interest in relation thereto are managed and the provision in the contract with the depositary on the possibility of transfer and reuse of AIF assets, and information about any transfer of liability to the prime broker that may exist;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p) description of how and when the information required under paragraphs 4 and 5 of Article 23 </w:t>
            </w:r>
            <w:r w:rsidRPr="009D5F24">
              <w:rPr>
                <w:rFonts w:ascii="Calibri" w:hAnsi="Calibri" w:cs="Arial"/>
                <w:sz w:val="18"/>
                <w:szCs w:val="18"/>
                <w:lang w:eastAsia="fr-BE"/>
              </w:rPr>
              <w:t>AIFMD</w:t>
            </w:r>
            <w:r w:rsidRPr="009D5F24">
              <w:rPr>
                <w:rFonts w:ascii="Calibri" w:hAnsi="Calibri" w:cs="Arial"/>
                <w:color w:val="000000"/>
                <w:sz w:val="18"/>
                <w:szCs w:val="18"/>
                <w:lang w:eastAsia="fr-BE"/>
              </w:rPr>
              <w:t xml:space="preserve"> will be disclosed.</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bl>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p w:rsidR="00062E1C" w:rsidRDefault="00062E1C" w:rsidP="001339C5">
      <w:pPr>
        <w:spacing w:after="120" w:line="240" w:lineRule="auto"/>
        <w:rPr>
          <w:rFonts w:ascii="Calibri" w:eastAsia="Times New Roman" w:hAnsi="Calibri" w:cs="Times New Roman"/>
          <w:lang w:eastAsia="fr-BE"/>
        </w:rPr>
      </w:pPr>
    </w:p>
    <w:tbl>
      <w:tblPr>
        <w:tblStyle w:val="TableGrid1"/>
        <w:tblW w:w="9640" w:type="dxa"/>
        <w:tblInd w:w="-147" w:type="dxa"/>
        <w:tblLayout w:type="fixed"/>
        <w:tblLook w:val="04A0" w:firstRow="1" w:lastRow="0" w:firstColumn="1" w:lastColumn="0" w:noHBand="0" w:noVBand="1"/>
      </w:tblPr>
      <w:tblGrid>
        <w:gridCol w:w="8080"/>
        <w:gridCol w:w="1560"/>
      </w:tblGrid>
      <w:tr w:rsidR="00062E1C" w:rsidRPr="009D5F24" w:rsidTr="00472B99">
        <w:tc>
          <w:tcPr>
            <w:tcW w:w="808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color w:val="000000"/>
                <w:sz w:val="20"/>
                <w:szCs w:val="20"/>
                <w:lang w:eastAsia="fr-BE"/>
              </w:rPr>
            </w:pPr>
            <w:r w:rsidRPr="009D5F24">
              <w:rPr>
                <w:rFonts w:ascii="Calibri" w:hAnsi="Calibri" w:cs="Arial"/>
                <w:b/>
                <w:color w:val="000000"/>
                <w:sz w:val="20"/>
                <w:szCs w:val="20"/>
                <w:lang w:eastAsia="fr-BE"/>
              </w:rPr>
              <w:lastRenderedPageBreak/>
              <w:t>Information (Art. 23 AIFMD)</w:t>
            </w:r>
            <w:r>
              <w:rPr>
                <w:rFonts w:ascii="Calibri" w:hAnsi="Calibri" w:cs="Arial"/>
                <w:b/>
                <w:color w:val="000000"/>
                <w:sz w:val="20"/>
                <w:szCs w:val="20"/>
                <w:lang w:eastAsia="fr-BE"/>
              </w:rPr>
              <w:t xml:space="preserve"> on [name of the compartment]</w:t>
            </w:r>
          </w:p>
        </w:tc>
        <w:tc>
          <w:tcPr>
            <w:tcW w:w="1560" w:type="dxa"/>
          </w:tcPr>
          <w:p w:rsidR="00062E1C" w:rsidRPr="009D5F24" w:rsidRDefault="00062E1C" w:rsidP="00472B99">
            <w:pPr>
              <w:overflowPunct w:val="0"/>
              <w:autoSpaceDE w:val="0"/>
              <w:autoSpaceDN w:val="0"/>
              <w:adjustRightInd w:val="0"/>
              <w:spacing w:after="120" w:line="240" w:lineRule="auto"/>
              <w:textAlignment w:val="baseline"/>
              <w:rPr>
                <w:rFonts w:ascii="Calibri" w:hAnsi="Calibri" w:cs="Arial"/>
                <w:b/>
                <w:sz w:val="20"/>
                <w:szCs w:val="20"/>
                <w:lang w:eastAsia="fr-BE"/>
              </w:rPr>
            </w:pPr>
            <w:r w:rsidRPr="009D5F24">
              <w:rPr>
                <w:rFonts w:ascii="Calibri" w:hAnsi="Calibri" w:cs="Arial"/>
                <w:b/>
                <w:sz w:val="20"/>
                <w:szCs w:val="20"/>
                <w:lang w:eastAsia="fr-BE"/>
              </w:rPr>
              <w:t>Document and page</w:t>
            </w: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a) a description of the investment strategy and objectives of the AIF</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9D5F24">
              <w:rPr>
                <w:rFonts w:ascii="Calibri" w:hAnsi="Calibri" w:cs="Arial"/>
                <w:color w:val="000000"/>
                <w:sz w:val="18"/>
                <w:szCs w:val="18"/>
                <w:lang w:eastAsia="fr-BE"/>
              </w:rPr>
              <w:t>information on where any master AIF is established and where the underlying funds are established if the AIF is a fund of funds</w:t>
            </w:r>
            <w:r w:rsidR="00B25492">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a description of the types of assets in which the AIF may invest, the techniques it may employ and all associated risks, any applicable investment restrictions, the circumstances in which the AIF may use leverage, the types and sources of leverage permitted and the associated risks, any restrictions on the use of leverage and any collateral and asset reuse arrangements, and the maximum level of leverage which the AIFM are entitled to employ on behalf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b) a description of the procedures by which the AIF may change its investment strategy or investment policy, or both;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c) a description of the main legal implications of the contractual relationship entered into for the purpose of investment, including information on jurisdiction, on the applicable law and on the existence or not of any legal instruments providing for the recognition and enforcement of judgments in the territory where the AIF is established;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r w:rsidRPr="009D5F24">
              <w:rPr>
                <w:rFonts w:ascii="Calibri" w:hAnsi="Calibri" w:cs="Arial"/>
                <w:color w:val="000000"/>
                <w:sz w:val="18"/>
                <w:szCs w:val="18"/>
                <w:lang w:eastAsia="fr-FR"/>
              </w:rPr>
              <w:t xml:space="preserve">d) the identity of the AIFM, the AIF’s depositary, auditor and any other service providers and a description of their duties and the investors’ rights; </w:t>
            </w:r>
          </w:p>
        </w:tc>
        <w:tc>
          <w:tcPr>
            <w:tcW w:w="1560" w:type="dxa"/>
          </w:tcPr>
          <w:p w:rsidR="00062E1C" w:rsidRPr="009D5F24" w:rsidRDefault="00062E1C" w:rsidP="00472B99">
            <w:pPr>
              <w:autoSpaceDE w:val="0"/>
              <w:autoSpaceDN w:val="0"/>
              <w:adjustRightInd w:val="0"/>
              <w:spacing w:after="0" w:line="240" w:lineRule="atLeast"/>
              <w:jc w:val="both"/>
              <w:rPr>
                <w:rFonts w:ascii="Calibri" w:hAnsi="Calibri" w:cs="Arial"/>
                <w:color w:val="000000"/>
                <w:sz w:val="18"/>
                <w:szCs w:val="18"/>
                <w:lang w:eastAsia="fr-FR"/>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e) a description of how the AIFM is complying with the requirements of Article 9(7)</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8E682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f) a description of any delegated management function as referred to in Annex I by the AIFM and of an</w:t>
            </w:r>
            <w:r w:rsidR="008E6829">
              <w:rPr>
                <w:rFonts w:ascii="Calibri" w:hAnsi="Calibri" w:cs="Arial"/>
                <w:color w:val="000000"/>
                <w:sz w:val="18"/>
                <w:szCs w:val="18"/>
                <w:lang w:eastAsia="fr-BE"/>
              </w:rPr>
              <w:t>y safe</w:t>
            </w:r>
            <w:r w:rsidRPr="009D5F24">
              <w:rPr>
                <w:rFonts w:ascii="Calibri" w:hAnsi="Calibri" w:cs="Arial"/>
                <w:color w:val="000000"/>
                <w:sz w:val="18"/>
                <w:szCs w:val="18"/>
                <w:lang w:eastAsia="fr-BE"/>
              </w:rPr>
              <w:t>keeping function delegated by the depositary, the identification of the delegate and any conflicts of interest that may arise from such delegations;</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g) a description of the AIF’s valuation procedure and of the pricing methodology for valuing assets, including the methods used in valuing hard-to-value assets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 xml:space="preserve">;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h) a description of the AIF’s liquidity risk management, including the redemption rights both in normal and in exceptional circumstances, and the existing redemption arrangements with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i) a description of all fees, charges and expenses and of the maximum amounts thereof which are directly or indirectly borne by investors;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j) a description of how the AIFM ensures a fair treatment of investors and, whenever an investor obtains preferential treatment or the right to obtain preferential treatment, a description of that preferential treatment, the type of investors who obtain such preferential treatment and, where relevant, their legal or economic links with the AIF or AIFM;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k) the latest annual report referred to in Article 22 AIFMD;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l) the procedure and conditions for the issue and sale of units or shares;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m) the latest net asset value of the AIF or the latest market price of the unit or share of the AIF, in accordance with Article 19</w:t>
            </w:r>
            <w:r w:rsidRPr="009D5F24">
              <w:rPr>
                <w:rFonts w:ascii="Calibri" w:hAnsi="Calibri" w:cs="Arial"/>
                <w:sz w:val="18"/>
                <w:szCs w:val="18"/>
                <w:lang w:eastAsia="fr-BE"/>
              </w:rPr>
              <w:t xml:space="preserve"> AIFMD</w:t>
            </w:r>
            <w:r w:rsidRPr="009D5F24">
              <w:rPr>
                <w:rFonts w:ascii="Calibri" w:hAnsi="Calibri" w:cs="Arial"/>
                <w:color w:val="000000"/>
                <w:sz w:val="18"/>
                <w:szCs w:val="18"/>
                <w:lang w:eastAsia="fr-BE"/>
              </w:rPr>
              <w:t>;</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n) where available, the historical performance of the AIF;</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o) the identity of the prime broker and a description of any material arrangements of the AIF with its prime brokers and the way the conflicts of interest in relation thereto are managed and the provision in the contract with the depositary on the possibility of transfer and reuse of AIF assets, and information about any transfer of liability to the prime broker that may exist; </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r w:rsidR="00062E1C" w:rsidRPr="009D5F24" w:rsidTr="00472B99">
        <w:tc>
          <w:tcPr>
            <w:tcW w:w="808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9D5F24">
              <w:rPr>
                <w:rFonts w:ascii="Calibri" w:hAnsi="Calibri" w:cs="Arial"/>
                <w:color w:val="000000"/>
                <w:sz w:val="18"/>
                <w:szCs w:val="18"/>
                <w:lang w:eastAsia="fr-BE"/>
              </w:rPr>
              <w:t xml:space="preserve">p) </w:t>
            </w:r>
            <w:proofErr w:type="gramStart"/>
            <w:r w:rsidRPr="009D5F24">
              <w:rPr>
                <w:rFonts w:ascii="Calibri" w:hAnsi="Calibri" w:cs="Arial"/>
                <w:color w:val="000000"/>
                <w:sz w:val="18"/>
                <w:szCs w:val="18"/>
                <w:lang w:eastAsia="fr-BE"/>
              </w:rPr>
              <w:t>description</w:t>
            </w:r>
            <w:proofErr w:type="gramEnd"/>
            <w:r w:rsidRPr="009D5F24">
              <w:rPr>
                <w:rFonts w:ascii="Calibri" w:hAnsi="Calibri" w:cs="Arial"/>
                <w:color w:val="000000"/>
                <w:sz w:val="18"/>
                <w:szCs w:val="18"/>
                <w:lang w:eastAsia="fr-BE"/>
              </w:rPr>
              <w:t xml:space="preserve"> of how and when the information required under paragraphs 4 and 5 of Article 23 </w:t>
            </w:r>
            <w:r w:rsidRPr="009D5F24">
              <w:rPr>
                <w:rFonts w:ascii="Calibri" w:hAnsi="Calibri" w:cs="Arial"/>
                <w:sz w:val="18"/>
                <w:szCs w:val="18"/>
                <w:lang w:eastAsia="fr-BE"/>
              </w:rPr>
              <w:t>AIFMD</w:t>
            </w:r>
            <w:r w:rsidRPr="009D5F24">
              <w:rPr>
                <w:rFonts w:ascii="Calibri" w:hAnsi="Calibri" w:cs="Arial"/>
                <w:color w:val="000000"/>
                <w:sz w:val="18"/>
                <w:szCs w:val="18"/>
                <w:lang w:eastAsia="fr-BE"/>
              </w:rPr>
              <w:t xml:space="preserve"> will be disclosed.</w:t>
            </w:r>
          </w:p>
        </w:tc>
        <w:tc>
          <w:tcPr>
            <w:tcW w:w="1560" w:type="dxa"/>
          </w:tcPr>
          <w:p w:rsidR="00062E1C" w:rsidRPr="009D5F24" w:rsidRDefault="00062E1C" w:rsidP="00472B99">
            <w:pPr>
              <w:overflowPunct w:val="0"/>
              <w:autoSpaceDE w:val="0"/>
              <w:autoSpaceDN w:val="0"/>
              <w:adjustRightInd w:val="0"/>
              <w:spacing w:after="0" w:line="240" w:lineRule="auto"/>
              <w:textAlignment w:val="baseline"/>
              <w:rPr>
                <w:rFonts w:ascii="Calibri" w:hAnsi="Calibri" w:cs="Arial"/>
                <w:sz w:val="18"/>
                <w:szCs w:val="18"/>
                <w:lang w:eastAsia="fr-BE"/>
              </w:rPr>
            </w:pPr>
          </w:p>
        </w:tc>
      </w:tr>
    </w:tbl>
    <w:p w:rsidR="007A4C48" w:rsidRPr="001339C5" w:rsidRDefault="009D5F24" w:rsidP="001339C5">
      <w:pPr>
        <w:spacing w:after="120" w:line="240" w:lineRule="auto"/>
        <w:rPr>
          <w:rFonts w:ascii="Calibri" w:eastAsia="Times New Roman" w:hAnsi="Calibri" w:cs="Times New Roman"/>
          <w:lang w:eastAsia="fr-BE"/>
        </w:rPr>
      </w:pPr>
      <w:r w:rsidRPr="009D5F24">
        <w:rPr>
          <w:rFonts w:ascii="Calibri" w:eastAsia="Times New Roman" w:hAnsi="Calibri" w:cs="Times New Roman"/>
          <w:noProof/>
          <w:lang w:val="fr-BE" w:eastAsia="fr-BE"/>
        </w:rPr>
        <mc:AlternateContent>
          <mc:Choice Requires="wps">
            <w:drawing>
              <wp:anchor distT="0" distB="0" distL="114300" distR="114300" simplePos="0" relativeHeight="251658752" behindDoc="0" locked="0" layoutInCell="1" allowOverlap="1" wp14:anchorId="1D41F4F8" wp14:editId="1D41F4F9">
                <wp:simplePos x="0" y="0"/>
                <wp:positionH relativeFrom="page">
                  <wp:posOffset>3152775</wp:posOffset>
                </wp:positionH>
                <wp:positionV relativeFrom="page">
                  <wp:posOffset>723900</wp:posOffset>
                </wp:positionV>
                <wp:extent cx="3714750" cy="4953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864" w:rsidRPr="000304B3" w:rsidRDefault="00802864" w:rsidP="009D5F24">
                            <w:pPr>
                              <w:pStyle w:val="NoSpacing"/>
                              <w:jc w:val="right"/>
                              <w:rPr>
                                <w:lang w:val="en-US"/>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D41F4F8" id="Text Box 3" o:spid="_x0000_s1027" type="#_x0000_t202" style="position:absolute;margin-left:248.25pt;margin-top:57pt;width:292.5pt;height:3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" filled="f" stroked="f">
                <v:textbox inset="0,0,0,0">
                  <w:txbxContent>
                    <w:p w:rsidR="00802864" w:rsidRPr="000304B3" w:rsidRDefault="00802864" w:rsidP="009D5F24">
                      <w:pPr>
                        <w:pStyle w:val="NoSpacing"/>
                        <w:jc w:val="right"/>
                        <w:rPr>
                          <w:lang w:val="en-US"/>
                        </w:rPr>
                      </w:pPr>
                    </w:p>
                  </w:txbxContent>
                </v:textbox>
                <w10:wrap anchorx="page" anchory="page"/>
              </v:shape>
            </w:pict>
          </mc:Fallback>
        </mc:AlternateContent>
      </w:r>
    </w:p>
    <w:sectPr w:rsidR="007A4C48" w:rsidRPr="001339C5" w:rsidSect="00490005">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875" w:rsidRDefault="008F7875" w:rsidP="00882CD2">
      <w:pPr>
        <w:spacing w:after="0" w:line="240" w:lineRule="auto"/>
      </w:pPr>
      <w:r>
        <w:separator/>
      </w:r>
    </w:p>
  </w:endnote>
  <w:endnote w:type="continuationSeparator" w:id="0">
    <w:p w:rsidR="008F7875" w:rsidRDefault="008F7875"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C68" w:rsidRDefault="00190C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864" w:rsidRPr="009D5F24" w:rsidRDefault="00802864" w:rsidP="001339C5">
    <w:pPr>
      <w:pStyle w:val="Footer"/>
      <w:tabs>
        <w:tab w:val="clear" w:pos="4513"/>
        <w:tab w:val="clear" w:pos="9026"/>
        <w:tab w:val="left" w:pos="5126"/>
      </w:tabs>
      <w:rPr>
        <w:rFonts w:ascii="Gotham Rounded Book" w:hAnsi="Gotham Rounded Book"/>
        <w:b/>
        <w:color w:val="002244"/>
        <w:sz w:val="16"/>
        <w:szCs w:val="16"/>
      </w:rPr>
    </w:pPr>
    <w:r w:rsidRPr="009D5F24">
      <w:rPr>
        <w:rFonts w:ascii="Gotham Rounded Book" w:hAnsi="Gotham Rounded Book"/>
        <w:b/>
        <w:color w:val="BBCCCC"/>
        <w:sz w:val="16"/>
        <w:szCs w:val="16"/>
      </w:rPr>
      <w:t>/</w:t>
    </w:r>
    <w:r w:rsidRPr="00636014">
      <w:rPr>
        <w:rFonts w:ascii="Gotham Rounded Book" w:hAnsi="Gotham Rounded Book"/>
        <w:sz w:val="16"/>
        <w:szCs w:val="16"/>
      </w:rPr>
      <w:t xml:space="preserve"> </w:t>
    </w:r>
    <w:r w:rsidRPr="009D5F24">
      <w:rPr>
        <w:rFonts w:ascii="Gotham Rounded Book" w:hAnsi="Gotham Rounded Book"/>
        <w:color w:val="002244"/>
        <w:sz w:val="16"/>
        <w:szCs w:val="16"/>
      </w:rPr>
      <w:t>FSMA</w:t>
    </w:r>
  </w:p>
  <w:p w:rsidR="00802864" w:rsidRPr="00EF57F5" w:rsidRDefault="00802864">
    <w:pPr>
      <w:pStyle w:val="Footer"/>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864" w:rsidRPr="00570CC8" w:rsidRDefault="00802864" w:rsidP="00335DAD">
    <w:pPr>
      <w:pStyle w:val="Footer"/>
      <w:tabs>
        <w:tab w:val="clear" w:pos="4513"/>
        <w:tab w:val="clear" w:pos="9026"/>
        <w:tab w:val="left" w:pos="6691"/>
      </w:tabs>
      <w:rPr>
        <w:rFonts w:ascii="Gotham Rounded Book" w:hAnsi="Gotham Rounded Book"/>
        <w:sz w:val="14"/>
        <w:szCs w:val="14"/>
        <w:lang w:val="fr-FR"/>
      </w:rPr>
    </w:pPr>
    <w:r w:rsidRPr="00570CC8">
      <w:rPr>
        <w:rFonts w:ascii="Gotham Rounded Book" w:hAnsi="Gotham Rounded Book"/>
        <w:sz w:val="14"/>
        <w:szCs w:val="14"/>
        <w:lang w:val="fr-FR"/>
      </w:rPr>
      <w:t>rue du Congrès 12-14</w:t>
    </w:r>
    <w:r>
      <w:rPr>
        <w:rFonts w:ascii="Gotham Rounded Book" w:hAnsi="Gotham Rounded Book"/>
        <w:sz w:val="14"/>
        <w:szCs w:val="14"/>
        <w:lang w:val="fr-FR"/>
      </w:rPr>
      <w:t xml:space="preserve">            </w:t>
    </w:r>
    <w:r w:rsidRPr="00570CC8">
      <w:rPr>
        <w:rFonts w:ascii="Gotham Rounded Book" w:hAnsi="Gotham Rounded Book"/>
        <w:sz w:val="14"/>
        <w:szCs w:val="14"/>
        <w:lang w:val="fr-FR"/>
      </w:rPr>
      <w:t xml:space="preserve">    1000 Brussels    </w:t>
    </w:r>
    <w:r>
      <w:rPr>
        <w:rFonts w:ascii="Gotham Rounded Book" w:hAnsi="Gotham Rounded Book"/>
        <w:sz w:val="14"/>
        <w:szCs w:val="14"/>
        <w:lang w:val="fr-FR"/>
      </w:rPr>
      <w:t xml:space="preserve">        </w:t>
    </w:r>
    <w:r w:rsidRPr="00570CC8">
      <w:rPr>
        <w:rFonts w:ascii="Gotham Rounded Book" w:hAnsi="Gotham Rounded Book"/>
        <w:sz w:val="14"/>
        <w:szCs w:val="14"/>
        <w:lang w:val="fr-FR"/>
      </w:rPr>
      <w:t xml:space="preserve">  T </w:t>
    </w:r>
    <w:bookmarkStart w:id="0" w:name="bkmPhoneService"/>
    <w:bookmarkEnd w:id="0"/>
    <w:r w:rsidRPr="00570CC8">
      <w:rPr>
        <w:rFonts w:ascii="Gotham Rounded Book" w:hAnsi="Gotham Rounded Book"/>
        <w:sz w:val="14"/>
        <w:szCs w:val="14"/>
        <w:lang w:val="fr-FR"/>
      </w:rPr>
      <w:t>+32 2 220 5</w:t>
    </w:r>
    <w:sdt>
      <w:sdtPr>
        <w:rPr>
          <w:rFonts w:ascii="Gotham Rounded Book" w:hAnsi="Gotham Rounded Book"/>
          <w:sz w:val="14"/>
          <w:szCs w:val="14"/>
        </w:rPr>
        <w:id w:val="2352901"/>
        <w:placeholder>
          <w:docPart w:val="503B3FFEB04945D4BEE0D0C8F3F05C62"/>
        </w:placeholder>
      </w:sdtPr>
      <w:sdtEndPr/>
      <w:sdtContent>
        <w:r w:rsidRPr="00335DAD">
          <w:rPr>
            <w:rFonts w:ascii="Gotham Rounded Book" w:hAnsi="Gotham Rounded Book"/>
            <w:sz w:val="14"/>
            <w:szCs w:val="14"/>
            <w:lang w:val="fr-BE"/>
          </w:rPr>
          <w:t>5 25</w:t>
        </w:r>
      </w:sdtContent>
    </w:sdt>
    <w:r w:rsidRPr="00570CC8">
      <w:rPr>
        <w:rFonts w:ascii="Gotham Rounded Book" w:hAnsi="Gotham Rounded Book"/>
        <w:sz w:val="14"/>
        <w:szCs w:val="14"/>
        <w:lang w:val="fr-FR"/>
      </w:rPr>
      <w:t xml:space="preserve">  </w:t>
    </w:r>
    <w:r>
      <w:rPr>
        <w:rFonts w:ascii="Gotham Rounded Book" w:hAnsi="Gotham Rounded Book"/>
        <w:sz w:val="14"/>
        <w:szCs w:val="14"/>
        <w:lang w:val="fr-FR"/>
      </w:rPr>
      <w:t xml:space="preserve">     </w:t>
    </w:r>
    <w:r w:rsidRPr="00570CC8">
      <w:rPr>
        <w:rFonts w:ascii="Gotham Rounded Book" w:hAnsi="Gotham Rounded Book"/>
        <w:sz w:val="14"/>
        <w:szCs w:val="14"/>
        <w:lang w:val="fr-FR"/>
      </w:rPr>
      <w:t xml:space="preserve"> </w:t>
    </w:r>
    <w:r>
      <w:rPr>
        <w:rFonts w:ascii="Gotham Rounded Book" w:hAnsi="Gotham Rounded Book"/>
        <w:sz w:val="14"/>
        <w:szCs w:val="14"/>
        <w:lang w:val="fr-FR"/>
      </w:rPr>
      <w:t xml:space="preserve"> </w:t>
    </w:r>
    <w:r w:rsidRPr="00570CC8">
      <w:rPr>
        <w:rFonts w:ascii="Gotham Rounded Book" w:hAnsi="Gotham Rounded Book"/>
        <w:sz w:val="14"/>
        <w:szCs w:val="14"/>
        <w:lang w:val="fr-FR"/>
      </w:rPr>
      <w:t xml:space="preserve"> </w:t>
    </w:r>
    <w:r>
      <w:rPr>
        <w:rFonts w:ascii="Gotham Rounded Book" w:hAnsi="Gotham Rounded Book"/>
        <w:sz w:val="14"/>
        <w:szCs w:val="14"/>
        <w:lang w:val="fr-FR"/>
      </w:rPr>
      <w:t xml:space="preserve">  </w:t>
    </w:r>
    <w:r w:rsidRPr="00570CC8">
      <w:rPr>
        <w:rFonts w:ascii="Gotham Rounded Book" w:hAnsi="Gotham Rounded Book"/>
        <w:sz w:val="14"/>
        <w:szCs w:val="14"/>
        <w:lang w:val="fr-FR"/>
      </w:rPr>
      <w:t xml:space="preserve">  </w:t>
    </w:r>
    <w:r>
      <w:rPr>
        <w:rFonts w:ascii="Gotham Rounded Book" w:hAnsi="Gotham Rounded Book"/>
        <w:sz w:val="14"/>
        <w:szCs w:val="14"/>
        <w:lang w:val="fr-FR"/>
      </w:rPr>
      <w:t xml:space="preserve"> </w:t>
    </w:r>
    <w:r w:rsidR="00190C68">
      <w:rPr>
        <w:rFonts w:ascii="Gotham Rounded Book" w:hAnsi="Gotham Rounded Book"/>
        <w:sz w:val="14"/>
        <w:szCs w:val="14"/>
        <w:lang w:val="fr-FR"/>
      </w:rPr>
      <w:tab/>
    </w:r>
    <w:r w:rsidR="00190C68">
      <w:rPr>
        <w:rFonts w:ascii="Gotham Rounded Book" w:hAnsi="Gotham Rounded Book"/>
        <w:sz w:val="14"/>
        <w:szCs w:val="14"/>
        <w:lang w:val="fr-FR"/>
      </w:rPr>
      <w:tab/>
    </w:r>
    <w:r w:rsidR="00190C68">
      <w:rPr>
        <w:rFonts w:ascii="Gotham Rounded Book" w:hAnsi="Gotham Rounded Book"/>
        <w:sz w:val="14"/>
        <w:szCs w:val="14"/>
        <w:lang w:val="fr-FR"/>
      </w:rPr>
      <w:tab/>
    </w:r>
    <w:bookmarkStart w:id="1" w:name="_GoBack"/>
    <w:bookmarkEnd w:id="1"/>
    <w:r>
      <w:rPr>
        <w:rFonts w:ascii="Gotham Rounded Book" w:hAnsi="Gotham Rounded Book"/>
        <w:sz w:val="14"/>
        <w:szCs w:val="14"/>
        <w:lang w:val="fr-FR"/>
      </w:rPr>
      <w:t xml:space="preserve">                 </w:t>
    </w:r>
    <w:r w:rsidRPr="009D5F24">
      <w:rPr>
        <w:rFonts w:ascii="Gotham Rounded Book" w:hAnsi="Gotham Rounded Book"/>
        <w:b/>
        <w:color w:val="BBCCCC"/>
        <w:sz w:val="14"/>
        <w:szCs w:val="14"/>
        <w:lang w:val="fr-FR"/>
      </w:rPr>
      <w:t>/</w:t>
    </w:r>
    <w:r w:rsidRPr="00570CC8">
      <w:rPr>
        <w:rFonts w:ascii="Gotham Rounded Book" w:hAnsi="Gotham Rounded Book"/>
        <w:sz w:val="14"/>
        <w:szCs w:val="14"/>
        <w:lang w:val="fr-FR"/>
      </w:rPr>
      <w:t xml:space="preserve"> www.fsma.be</w:t>
    </w:r>
  </w:p>
  <w:p w:rsidR="00802864" w:rsidRPr="001339C5" w:rsidRDefault="00802864">
    <w:pPr>
      <w:pStyle w:val="Footer"/>
      <w:rPr>
        <w:lang w:val="fr-FR"/>
      </w:rPr>
    </w:pPr>
    <w:r>
      <w:rPr>
        <w:lang w:val="fr-FR"/>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864" w:rsidRPr="009D5F24" w:rsidRDefault="00802864" w:rsidP="003554C9">
    <w:pPr>
      <w:pStyle w:val="Footer"/>
      <w:tabs>
        <w:tab w:val="clear" w:pos="4513"/>
        <w:tab w:val="clear" w:pos="9026"/>
        <w:tab w:val="left" w:pos="5126"/>
      </w:tabs>
      <w:rPr>
        <w:rFonts w:ascii="Gotham Rounded Book" w:hAnsi="Gotham Rounded Book"/>
        <w:b/>
        <w:color w:val="002244"/>
        <w:sz w:val="16"/>
        <w:szCs w:val="16"/>
      </w:rPr>
    </w:pPr>
    <w:r w:rsidRPr="009D5F24">
      <w:rPr>
        <w:rFonts w:ascii="Gotham Rounded Book" w:hAnsi="Gotham Rounded Book"/>
        <w:b/>
        <w:color w:val="BBCCCC"/>
        <w:sz w:val="16"/>
        <w:szCs w:val="16"/>
      </w:rPr>
      <w:t>/</w:t>
    </w:r>
    <w:r w:rsidRPr="00636014">
      <w:rPr>
        <w:rFonts w:ascii="Gotham Rounded Book" w:hAnsi="Gotham Rounded Book"/>
        <w:sz w:val="16"/>
        <w:szCs w:val="16"/>
      </w:rPr>
      <w:t xml:space="preserve"> </w:t>
    </w:r>
    <w:r w:rsidRPr="009D5F24">
      <w:rPr>
        <w:rFonts w:ascii="Gotham Rounded Book" w:hAnsi="Gotham Rounded Book"/>
        <w:color w:val="002244"/>
        <w:sz w:val="16"/>
        <w:szCs w:val="16"/>
      </w:rPr>
      <w:t>FSMA</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864" w:rsidRPr="009D5F24" w:rsidRDefault="00802864" w:rsidP="001339C5">
    <w:pPr>
      <w:pStyle w:val="Footer"/>
      <w:tabs>
        <w:tab w:val="clear" w:pos="4513"/>
        <w:tab w:val="clear" w:pos="9026"/>
        <w:tab w:val="left" w:pos="5126"/>
      </w:tabs>
      <w:rPr>
        <w:rFonts w:ascii="Gotham Rounded Book" w:hAnsi="Gotham Rounded Book"/>
        <w:b/>
        <w:color w:val="002244"/>
        <w:sz w:val="16"/>
        <w:szCs w:val="16"/>
      </w:rPr>
    </w:pPr>
    <w:r w:rsidRPr="009D5F24">
      <w:rPr>
        <w:rFonts w:ascii="Gotham Rounded Book" w:hAnsi="Gotham Rounded Book"/>
        <w:b/>
        <w:color w:val="BBCCCC"/>
        <w:sz w:val="16"/>
        <w:szCs w:val="16"/>
      </w:rPr>
      <w:t>/</w:t>
    </w:r>
    <w:r w:rsidRPr="00636014">
      <w:rPr>
        <w:rFonts w:ascii="Gotham Rounded Book" w:hAnsi="Gotham Rounded Book"/>
        <w:sz w:val="16"/>
        <w:szCs w:val="16"/>
      </w:rPr>
      <w:t xml:space="preserve"> </w:t>
    </w:r>
    <w:r w:rsidRPr="009D5F24">
      <w:rPr>
        <w:rFonts w:ascii="Gotham Rounded Book" w:hAnsi="Gotham Rounded Book"/>
        <w:color w:val="002244"/>
        <w:sz w:val="16"/>
        <w:szCs w:val="16"/>
      </w:rPr>
      <w:t>FSMA</w:t>
    </w:r>
  </w:p>
  <w:p w:rsidR="00802864" w:rsidRPr="00EF57F5" w:rsidRDefault="00802864" w:rsidP="00EF5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875" w:rsidRDefault="008F7875" w:rsidP="00882CD2">
      <w:pPr>
        <w:spacing w:after="0" w:line="240" w:lineRule="auto"/>
      </w:pPr>
      <w:r>
        <w:separator/>
      </w:r>
    </w:p>
  </w:footnote>
  <w:footnote w:type="continuationSeparator" w:id="0">
    <w:p w:rsidR="008F7875" w:rsidRDefault="008F7875" w:rsidP="00882CD2">
      <w:pPr>
        <w:spacing w:after="0" w:line="240" w:lineRule="auto"/>
      </w:pPr>
      <w:r>
        <w:continuationSeparator/>
      </w:r>
    </w:p>
  </w:footnote>
  <w:footnote w:id="1">
    <w:p w:rsidR="00802864" w:rsidRPr="006E55B0" w:rsidRDefault="00802864" w:rsidP="002D3F08">
      <w:pPr>
        <w:pStyle w:val="FootnoteText"/>
        <w:ind w:left="284" w:hanging="284"/>
        <w:jc w:val="both"/>
        <w:rPr>
          <w:lang w:val="en-US"/>
        </w:rPr>
      </w:pPr>
      <w:r>
        <w:rPr>
          <w:rStyle w:val="FootnoteReference"/>
        </w:rPr>
        <w:footnoteRef/>
      </w:r>
      <w:r w:rsidRPr="007A623B">
        <w:rPr>
          <w:lang w:val="en-US"/>
        </w:rPr>
        <w:t xml:space="preserve"> </w:t>
      </w:r>
      <w:r>
        <w:rPr>
          <w:lang w:val="en-US"/>
        </w:rPr>
        <w:tab/>
      </w:r>
      <w:r w:rsidRPr="006E55B0">
        <w:rPr>
          <w:lang w:val="en-US"/>
        </w:rPr>
        <w:t>Art. 32 of Directive 2011/61/EU of the European Parliament and of the Council of 8 June 2011 on Alternative Investment Fund Managers and amending Directives 2003/41/EC and 2009/65/EC and Regulations (EC) No 1060/2009 and (EU) No 1095/2010; Articles 90 to 92 of the Belgian AIFM Law of 19 April 2014.</w:t>
      </w:r>
    </w:p>
  </w:footnote>
  <w:footnote w:id="2">
    <w:p w:rsidR="00802864" w:rsidRPr="006E55B0" w:rsidRDefault="00802864" w:rsidP="002D3F08">
      <w:pPr>
        <w:autoSpaceDE w:val="0"/>
        <w:autoSpaceDN w:val="0"/>
        <w:adjustRightInd w:val="0"/>
        <w:spacing w:after="0" w:line="240" w:lineRule="auto"/>
        <w:ind w:left="284" w:hanging="284"/>
        <w:jc w:val="both"/>
        <w:rPr>
          <w:rFonts w:ascii="Calibri" w:eastAsia="Times New Roman" w:hAnsi="Calibri"/>
          <w:sz w:val="20"/>
          <w:szCs w:val="20"/>
          <w:lang w:eastAsia="fr-BE"/>
        </w:rPr>
      </w:pPr>
      <w:r w:rsidRPr="002D3F08">
        <w:rPr>
          <w:rStyle w:val="FootnoteReference"/>
          <w:lang w:val="nl-BE"/>
        </w:rPr>
        <w:footnoteRef/>
      </w:r>
      <w:r w:rsidRPr="002D3F08">
        <w:rPr>
          <w:rStyle w:val="FootnoteReference"/>
        </w:rPr>
        <w:t xml:space="preserve"> </w:t>
      </w:r>
      <w:r w:rsidRPr="006E55B0">
        <w:rPr>
          <w:rFonts w:ascii="Calibri" w:eastAsia="Times New Roman" w:hAnsi="Calibri"/>
          <w:sz w:val="20"/>
          <w:szCs w:val="20"/>
          <w:lang w:eastAsia="fr-BE"/>
        </w:rPr>
        <w:t xml:space="preserve">  </w:t>
      </w:r>
      <w:r w:rsidR="002D3F08">
        <w:rPr>
          <w:rFonts w:ascii="Calibri" w:eastAsia="Times New Roman" w:hAnsi="Calibri"/>
          <w:sz w:val="20"/>
          <w:szCs w:val="20"/>
          <w:lang w:eastAsia="fr-BE"/>
        </w:rPr>
        <w:tab/>
      </w:r>
      <w:r w:rsidRPr="006E55B0">
        <w:rPr>
          <w:rFonts w:ascii="Calibri" w:eastAsia="Times New Roman" w:hAnsi="Calibri"/>
          <w:sz w:val="20"/>
          <w:szCs w:val="20"/>
          <w:lang w:eastAsia="fr-BE"/>
        </w:rPr>
        <w:t>“Amendments” refer to any change other than the de-notification of the arrangements for marketing units or shares of an AIF in another Member State.</w:t>
      </w:r>
    </w:p>
    <w:p w:rsidR="00802864" w:rsidRPr="006E55B0" w:rsidRDefault="00802864">
      <w:pPr>
        <w:pStyle w:val="FootnoteText"/>
        <w:rPr>
          <w:lang w:val="en-GB"/>
        </w:rPr>
      </w:pPr>
    </w:p>
  </w:footnote>
  <w:footnote w:id="3">
    <w:p w:rsidR="00802864" w:rsidRPr="00802864" w:rsidRDefault="00802864" w:rsidP="002D3F08">
      <w:pPr>
        <w:pStyle w:val="FootnoteText"/>
        <w:ind w:left="284" w:hanging="284"/>
        <w:jc w:val="both"/>
        <w:rPr>
          <w:lang w:val="en-GB"/>
        </w:rPr>
      </w:pPr>
      <w:r w:rsidRPr="002D3F08">
        <w:rPr>
          <w:rStyle w:val="FootnoteReference"/>
          <w:rFonts w:asciiTheme="minorHAnsi" w:eastAsiaTheme="minorHAnsi" w:hAnsiTheme="minorHAnsi"/>
          <w:sz w:val="22"/>
          <w:szCs w:val="22"/>
          <w:lang w:eastAsia="en-US"/>
        </w:rPr>
        <w:footnoteRef/>
      </w:r>
      <w:r w:rsidRPr="00ED045F">
        <w:rPr>
          <w:lang w:val="it-IT"/>
        </w:rPr>
        <w:t xml:space="preserve"> </w:t>
      </w:r>
      <w:r>
        <w:rPr>
          <w:lang w:val="it-IT"/>
        </w:rPr>
        <w:tab/>
      </w:r>
      <w:r w:rsidRPr="00A25C3C">
        <w:rPr>
          <w:lang w:val="it-IT"/>
        </w:rPr>
        <w:t>Please indicate a single contact point for the transmission of the invoice or for the communication of any applicable regulatory fee or charge referred to in Article 9 of Regulation (EU) 2019/1156 and in Article 2 of the Commission Implementing Regulation (EU) 2021/955. This contact point may be the same as the contact point designated within the AIFM, or a contact point within an appointed third party.</w:t>
      </w:r>
    </w:p>
  </w:footnote>
  <w:footnote w:id="4">
    <w:p w:rsidR="00184960" w:rsidRPr="00490005" w:rsidRDefault="00184960" w:rsidP="002D3F08">
      <w:pPr>
        <w:pStyle w:val="FootnoteText"/>
        <w:ind w:left="284" w:hanging="284"/>
        <w:jc w:val="both"/>
        <w:rPr>
          <w:lang w:val="en-GB"/>
        </w:rPr>
      </w:pPr>
      <w:r w:rsidRPr="002D3F08">
        <w:rPr>
          <w:rStyle w:val="FootnoteReference"/>
          <w:rFonts w:asciiTheme="minorHAnsi" w:eastAsiaTheme="minorHAnsi" w:hAnsiTheme="minorHAnsi"/>
          <w:sz w:val="22"/>
          <w:szCs w:val="22"/>
          <w:lang w:eastAsia="en-US"/>
        </w:rPr>
        <w:footnoteRef/>
      </w:r>
      <w:r w:rsidRPr="00490005">
        <w:rPr>
          <w:lang w:val="en-GB"/>
        </w:rPr>
        <w:t xml:space="preserve"> </w:t>
      </w:r>
      <w:r>
        <w:rPr>
          <w:lang w:val="en-GB"/>
        </w:rPr>
        <w:tab/>
      </w:r>
      <w:r w:rsidRPr="002D3F08">
        <w:rPr>
          <w:lang w:val="en-GB"/>
        </w:rPr>
        <w:t>Where allowed in the home Member State of the AIFM: ‘Yes’/’No’. Where legislation of the home Member State of the AIFM does not allow marketing to retail investors, please indicate ‘N/A’.</w:t>
      </w:r>
    </w:p>
  </w:footnote>
  <w:footnote w:id="5">
    <w:p w:rsidR="00184960" w:rsidRPr="00860179" w:rsidRDefault="00184960" w:rsidP="009D5F24">
      <w:pPr>
        <w:pStyle w:val="FootnoteText"/>
        <w:rPr>
          <w:lang w:val="en-US"/>
        </w:rPr>
      </w:pPr>
      <w:r w:rsidRPr="002D3F08">
        <w:rPr>
          <w:rStyle w:val="FootnoteReference"/>
          <w:rFonts w:asciiTheme="minorHAnsi" w:eastAsiaTheme="minorHAnsi" w:hAnsiTheme="minorHAnsi"/>
          <w:sz w:val="22"/>
          <w:szCs w:val="22"/>
          <w:lang w:eastAsia="en-US"/>
        </w:rPr>
        <w:footnoteRef/>
      </w:r>
      <w:r w:rsidRPr="003D2960">
        <w:rPr>
          <w:rStyle w:val="FootnoteReference"/>
          <w:rFonts w:asciiTheme="minorHAnsi" w:eastAsiaTheme="minorHAnsi" w:hAnsiTheme="minorHAnsi"/>
          <w:sz w:val="22"/>
          <w:szCs w:val="22"/>
          <w:lang w:val="en-US" w:eastAsia="en-US"/>
        </w:rPr>
        <w:t xml:space="preserve"> </w:t>
      </w:r>
      <w:r>
        <w:rPr>
          <w:lang w:val="en-US"/>
        </w:rPr>
        <w:t xml:space="preserve">    </w:t>
      </w:r>
      <w:r w:rsidRPr="002D3F08">
        <w:rPr>
          <w:lang w:val="en-US"/>
        </w:rPr>
        <w:t>Information on the depositary of the AIF should include the address of the depositary.</w:t>
      </w:r>
    </w:p>
  </w:footnote>
  <w:footnote w:id="6">
    <w:p w:rsidR="00236224" w:rsidRPr="00490005" w:rsidRDefault="00236224" w:rsidP="002D3F08">
      <w:pPr>
        <w:pStyle w:val="FootnoteText"/>
        <w:ind w:left="284" w:hanging="284"/>
        <w:jc w:val="both"/>
        <w:rPr>
          <w:lang w:val="en-GB"/>
        </w:rPr>
      </w:pPr>
      <w:r w:rsidRPr="002D3F08">
        <w:rPr>
          <w:rStyle w:val="FootnoteReference"/>
          <w:rFonts w:asciiTheme="minorHAnsi" w:eastAsiaTheme="minorHAnsi" w:hAnsiTheme="minorHAnsi"/>
          <w:sz w:val="22"/>
          <w:szCs w:val="22"/>
          <w:lang w:eastAsia="en-US"/>
        </w:rPr>
        <w:footnoteRef/>
      </w:r>
      <w:r w:rsidRPr="003D2960">
        <w:rPr>
          <w:rStyle w:val="FootnoteReference"/>
          <w:rFonts w:asciiTheme="minorHAnsi" w:eastAsiaTheme="minorHAnsi" w:hAnsiTheme="minorHAnsi"/>
          <w:sz w:val="22"/>
          <w:szCs w:val="22"/>
          <w:lang w:val="en-US" w:eastAsia="en-US"/>
        </w:rPr>
        <w:t xml:space="preserve"> </w:t>
      </w:r>
      <w:r>
        <w:rPr>
          <w:lang w:val="en-GB"/>
        </w:rPr>
        <w:tab/>
      </w:r>
      <w:r w:rsidRPr="002D3F08">
        <w:rPr>
          <w:rFonts w:cs="Arial"/>
          <w:lang w:val="en-GB"/>
        </w:rPr>
        <w:t>Please specify the predominant AIF and the breakdown by investment strategies as set out in the reporting template included in Regulation 231/2013.</w:t>
      </w:r>
    </w:p>
  </w:footnote>
  <w:footnote w:id="7">
    <w:p w:rsidR="00122CCF" w:rsidRPr="00490005" w:rsidRDefault="00122CCF" w:rsidP="00A80A4F">
      <w:pPr>
        <w:pStyle w:val="FootnoteText"/>
        <w:ind w:left="284" w:hanging="284"/>
        <w:jc w:val="both"/>
        <w:rPr>
          <w:lang w:val="en-GB"/>
        </w:rPr>
      </w:pPr>
      <w:r>
        <w:rPr>
          <w:rStyle w:val="FootnoteReference"/>
        </w:rPr>
        <w:footnoteRef/>
      </w:r>
      <w:r w:rsidRPr="00490005">
        <w:rPr>
          <w:lang w:val="en-GB"/>
        </w:rPr>
        <w:t xml:space="preserve"> </w:t>
      </w:r>
      <w:r>
        <w:rPr>
          <w:lang w:val="en-GB"/>
        </w:rPr>
        <w:tab/>
      </w:r>
      <w:r w:rsidRPr="002D3F08">
        <w:rPr>
          <w:rFonts w:asciiTheme="minorHAnsi" w:hAnsiTheme="minorHAnsi" w:cstheme="minorHAnsi"/>
          <w:color w:val="000000"/>
          <w:lang w:val="en-GB" w:eastAsia="nl-BE"/>
        </w:rPr>
        <w:t xml:space="preserve">This information </w:t>
      </w:r>
      <w:proofErr w:type="gramStart"/>
      <w:r w:rsidRPr="002D3F08">
        <w:rPr>
          <w:rFonts w:asciiTheme="minorHAnsi" w:hAnsiTheme="minorHAnsi" w:cstheme="minorHAnsi"/>
          <w:color w:val="000000"/>
          <w:lang w:val="en-GB" w:eastAsia="nl-BE"/>
        </w:rPr>
        <w:t>must be filled</w:t>
      </w:r>
      <w:proofErr w:type="gramEnd"/>
      <w:r w:rsidRPr="002D3F08">
        <w:rPr>
          <w:rFonts w:asciiTheme="minorHAnsi" w:hAnsiTheme="minorHAnsi" w:cstheme="minorHAnsi"/>
          <w:color w:val="000000"/>
          <w:lang w:val="en-GB" w:eastAsia="nl-BE"/>
        </w:rPr>
        <w:t xml:space="preserve"> only in respect of the AIFs the marketing of which is envisaged to professional investors only. No arrangements need to be put in place in respect of AIFs that the AIFM/self-managed AIF intends to market to retail investors, where permitted by the national legislation of the home Member State of the AIFM in accordance with Article 43 of Directive 2011/61/EU. In case this notification letter refers to both AIFs targeting professional investors and AIFs targeting retail investors, please indicate information only in respect of AIFs targeting only professional investors.</w:t>
      </w:r>
    </w:p>
  </w:footnote>
  <w:footnote w:id="8">
    <w:p w:rsidR="00802864" w:rsidRPr="004901A2" w:rsidRDefault="00802864">
      <w:pPr>
        <w:pStyle w:val="FootnoteText"/>
        <w:rPr>
          <w:lang w:val="en-GB"/>
        </w:rPr>
      </w:pPr>
      <w:r w:rsidRPr="004901A2">
        <w:rPr>
          <w:rStyle w:val="FootnoteReference"/>
          <w:lang w:val="en-GB"/>
        </w:rPr>
        <w:footnoteRef/>
      </w:r>
      <w:r w:rsidRPr="004901A2">
        <w:rPr>
          <w:lang w:val="en-GB"/>
        </w:rPr>
        <w:t xml:space="preserve"> Please contact us </w:t>
      </w:r>
      <w:r w:rsidRPr="004901A2">
        <w:rPr>
          <w:rFonts w:cs="Arial"/>
          <w:szCs w:val="18"/>
          <w:lang w:val="en-GB"/>
        </w:rPr>
        <w:t xml:space="preserve">on the address </w:t>
      </w:r>
      <w:hyperlink r:id="rId1" w:history="1">
        <w:r w:rsidRPr="004901A2">
          <w:rPr>
            <w:rStyle w:val="Hyperlink"/>
            <w:rFonts w:cs="Times New Roman"/>
            <w:lang w:val="en-GB"/>
          </w:rPr>
          <w:t>e-notification.passporting2@fsma.be</w:t>
        </w:r>
      </w:hyperlink>
      <w:r w:rsidRPr="004901A2">
        <w:rPr>
          <w:rFonts w:cs="Times New Roman"/>
          <w:color w:val="002244"/>
          <w:u w:val="single"/>
          <w:lang w:val="en-GB"/>
        </w:rPr>
        <w:t xml:space="preserve"> </w:t>
      </w:r>
      <w:r w:rsidRPr="004901A2">
        <w:rPr>
          <w:lang w:val="en-GB"/>
        </w:rPr>
        <w:t>i</w:t>
      </w:r>
      <w:r w:rsidRPr="004901A2">
        <w:rPr>
          <w:rFonts w:cs="Arial"/>
          <w:szCs w:val="18"/>
          <w:lang w:val="en-GB"/>
        </w:rPr>
        <w:t xml:space="preserve">f the AIF counts more than 10 compartments.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C68" w:rsidRDefault="00190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18"/>
      <w:gridCol w:w="3572"/>
      <w:gridCol w:w="3516"/>
    </w:tblGrid>
    <w:tr w:rsidR="00802864" w:rsidTr="00EF57F5">
      <w:trPr>
        <w:trHeight w:val="1077"/>
      </w:trPr>
      <w:tc>
        <w:tcPr>
          <w:tcW w:w="3118" w:type="dxa"/>
        </w:tcPr>
        <w:p w:rsidR="00802864" w:rsidRDefault="00802864" w:rsidP="00EF57F5">
          <w:pPr>
            <w:pStyle w:val="Heade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190C68">
            <w:rPr>
              <w:b/>
              <w:noProof/>
              <w:sz w:val="14"/>
              <w:szCs w:val="14"/>
            </w:rPr>
            <w:t>2</w:t>
          </w:r>
          <w:r w:rsidRPr="00930E51">
            <w:rPr>
              <w:b/>
              <w:sz w:val="14"/>
              <w:szCs w:val="14"/>
            </w:rPr>
            <w:fldChar w:fldCharType="end"/>
          </w:r>
          <w:r>
            <w:rPr>
              <w:b/>
              <w:sz w:val="14"/>
              <w:szCs w:val="14"/>
            </w:rPr>
            <w:t>/</w:t>
          </w:r>
          <w:r w:rsidR="00190C68">
            <w:fldChar w:fldCharType="begin"/>
          </w:r>
          <w:r w:rsidR="00190C68">
            <w:instrText xml:space="preserve"> NUMPAGES   \* MERGEFORMAT </w:instrText>
          </w:r>
          <w:r w:rsidR="00190C68">
            <w:fldChar w:fldCharType="separate"/>
          </w:r>
          <w:r w:rsidR="00190C68" w:rsidRPr="00190C68">
            <w:rPr>
              <w:b/>
              <w:noProof/>
              <w:sz w:val="14"/>
              <w:szCs w:val="14"/>
            </w:rPr>
            <w:t>17</w:t>
          </w:r>
          <w:r w:rsidR="00190C68">
            <w:rPr>
              <w:b/>
              <w:noProof/>
              <w:sz w:val="14"/>
              <w:szCs w:val="14"/>
            </w:rPr>
            <w:fldChar w:fldCharType="end"/>
          </w:r>
          <w:r>
            <w:rPr>
              <w:sz w:val="14"/>
              <w:szCs w:val="14"/>
            </w:rPr>
            <w:t xml:space="preserve"> </w:t>
          </w:r>
          <w:r w:rsidRPr="009D5F24">
            <w:rPr>
              <w:b/>
              <w:color w:val="BBCCCC"/>
              <w:sz w:val="14"/>
              <w:szCs w:val="14"/>
            </w:rPr>
            <w:t>/</w:t>
          </w:r>
          <w:r>
            <w:rPr>
              <w:sz w:val="14"/>
              <w:szCs w:val="14"/>
            </w:rPr>
            <w:t xml:space="preserve"> </w:t>
          </w:r>
          <w:sdt>
            <w:sdtPr>
              <w:rPr>
                <w:sz w:val="14"/>
                <w:szCs w:val="14"/>
                <w:lang w:val="af-ZA"/>
              </w:rPr>
              <w:alias w:val="Subject"/>
              <w:id w:val="1921985970"/>
              <w:placeholder>
                <w:docPart w:val="8DE3FB465DD14DD8BD28A573CC082A8E"/>
              </w:placeholde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FSMA_2017_05-01</w:t>
              </w:r>
            </w:sdtContent>
          </w:sdt>
          <w:r w:rsidRPr="009653AD">
            <w:rPr>
              <w:sz w:val="14"/>
              <w:szCs w:val="14"/>
              <w:lang w:val="af-ZA"/>
            </w:rPr>
            <w:t xml:space="preserve"> </w:t>
          </w:r>
          <w:r>
            <w:rPr>
              <w:sz w:val="14"/>
              <w:szCs w:val="14"/>
              <w:lang w:val="af-ZA"/>
            </w:rPr>
            <w:t xml:space="preserve">of </w:t>
          </w:r>
          <w:sdt>
            <w:sdtPr>
              <w:rPr>
                <w:sz w:val="14"/>
                <w:szCs w:val="14"/>
                <w:lang w:val="af-ZA"/>
              </w:rPr>
              <w:id w:val="1733195515"/>
              <w:placeholder>
                <w:docPart w:val="FDC80CBC9EE0490F83AC4F5D6878A92E"/>
              </w:placeholder>
              <w:date w:fullDate="2017-02-24T00:00:00Z">
                <w:dateFormat w:val="d/MM/yyyy"/>
                <w:lid w:val="nl-BE"/>
                <w:storeMappedDataAs w:val="dateTime"/>
                <w:calendar w:val="gregorian"/>
              </w:date>
            </w:sdtPr>
            <w:sdtEndPr/>
            <w:sdtContent>
              <w:r>
                <w:rPr>
                  <w:sz w:val="14"/>
                  <w:szCs w:val="14"/>
                  <w:lang w:val="nl-BE"/>
                </w:rPr>
                <w:t>24/02/2017</w:t>
              </w:r>
            </w:sdtContent>
          </w:sdt>
        </w:p>
      </w:tc>
      <w:tc>
        <w:tcPr>
          <w:tcW w:w="3572" w:type="dxa"/>
        </w:tcPr>
        <w:p w:rsidR="00802864" w:rsidRDefault="00802864" w:rsidP="00EF57F5">
          <w:pPr>
            <w:pStyle w:val="Header"/>
          </w:pPr>
        </w:p>
      </w:tc>
      <w:tc>
        <w:tcPr>
          <w:tcW w:w="3516" w:type="dxa"/>
        </w:tcPr>
        <w:p w:rsidR="00802864" w:rsidRPr="0067415A" w:rsidRDefault="00802864" w:rsidP="00EF57F5">
          <w:pPr>
            <w:pStyle w:val="Header"/>
            <w:jc w:val="right"/>
            <w:rPr>
              <w:b/>
            </w:rPr>
          </w:pPr>
          <w:r>
            <w:rPr>
              <w:b/>
              <w:sz w:val="24"/>
            </w:rPr>
            <w:t xml:space="preserve"> </w:t>
          </w:r>
        </w:p>
      </w:tc>
    </w:tr>
  </w:tbl>
  <w:p w:rsidR="00802864" w:rsidRDefault="008028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864" w:rsidRDefault="00802864">
    <w:pPr>
      <w:pStyle w:val="Header"/>
    </w:pPr>
    <w:r>
      <w:rPr>
        <w:noProof/>
        <w:lang w:val="fr-BE" w:eastAsia="fr-BE"/>
      </w:rPr>
      <w:drawing>
        <wp:anchor distT="0" distB="0" distL="114300" distR="114300" simplePos="0" relativeHeight="251659264" behindDoc="0" locked="0" layoutInCell="1" allowOverlap="1" wp14:anchorId="1D41F514" wp14:editId="1D41F515">
          <wp:simplePos x="0" y="0"/>
          <wp:positionH relativeFrom="page">
            <wp:posOffset>540385</wp:posOffset>
          </wp:positionH>
          <wp:positionV relativeFrom="page">
            <wp:posOffset>448945</wp:posOffset>
          </wp:positionV>
          <wp:extent cx="1817533" cy="1009402"/>
          <wp:effectExtent l="19050" t="0" r="0" b="0"/>
          <wp:wrapNone/>
          <wp:docPr id="4"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864" w:rsidRPr="00022F1B" w:rsidRDefault="00802864" w:rsidP="00A60EE1">
    <w:pPr>
      <w:pStyle w:val="Header"/>
      <w:tabs>
        <w:tab w:val="clear" w:pos="4513"/>
        <w:tab w:val="clear" w:pos="9026"/>
        <w:tab w:val="right" w:pos="9015"/>
      </w:tabs>
      <w:spacing w:line="168" w:lineRule="exact"/>
      <w:rPr>
        <w:sz w:val="14"/>
        <w:szCs w:val="14"/>
      </w:rPr>
    </w:pPr>
    <w:r>
      <w:rPr>
        <w:sz w:val="14"/>
        <w:szCs w:val="14"/>
      </w:rPr>
      <w:tab/>
    </w:r>
    <w:bookmarkStart w:id="2" w:name="bkmName2"/>
    <w:bookmarkEnd w:id="2"/>
  </w:p>
  <w:p w:rsidR="00802864" w:rsidRPr="00A60EE1" w:rsidRDefault="0080286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190C68">
      <w:rPr>
        <w:b/>
        <w:noProof/>
        <w:sz w:val="14"/>
        <w:szCs w:val="14"/>
      </w:rPr>
      <w:t>6</w:t>
    </w:r>
    <w:r w:rsidRPr="00930E51">
      <w:rPr>
        <w:b/>
        <w:sz w:val="14"/>
        <w:szCs w:val="14"/>
      </w:rPr>
      <w:fldChar w:fldCharType="end"/>
    </w:r>
    <w:r>
      <w:rPr>
        <w:b/>
        <w:sz w:val="14"/>
        <w:szCs w:val="14"/>
      </w:rPr>
      <w:t>/</w:t>
    </w:r>
    <w:r w:rsidR="00190C68">
      <w:fldChar w:fldCharType="begin"/>
    </w:r>
    <w:r w:rsidR="00190C68">
      <w:instrText xml:space="preserve"> NUMPAGES   \* MERGEFORMAT </w:instrText>
    </w:r>
    <w:r w:rsidR="00190C68">
      <w:fldChar w:fldCharType="separate"/>
    </w:r>
    <w:r w:rsidR="00190C68" w:rsidRPr="00190C68">
      <w:rPr>
        <w:b/>
        <w:noProof/>
        <w:sz w:val="14"/>
        <w:szCs w:val="14"/>
      </w:rPr>
      <w:t>17</w:t>
    </w:r>
    <w:r w:rsidR="00190C68">
      <w:rPr>
        <w:b/>
        <w:noProof/>
        <w:sz w:val="14"/>
        <w:szCs w:val="14"/>
      </w:rPr>
      <w:fldChar w:fldCharType="end"/>
    </w:r>
    <w:r>
      <w:rPr>
        <w:sz w:val="14"/>
        <w:szCs w:val="14"/>
      </w:rPr>
      <w:t xml:space="preserve"> </w:t>
    </w:r>
    <w:r w:rsidRPr="009D5F24">
      <w:rPr>
        <w:b/>
        <w:color w:val="BBCCCC"/>
        <w:sz w:val="14"/>
        <w:szCs w:val="14"/>
      </w:rPr>
      <w:t>/</w:t>
    </w:r>
    <w:bookmarkStart w:id="3" w:name="bkmOurReference2"/>
    <w:bookmarkEnd w:id="3"/>
    <w:r>
      <w:rPr>
        <w:sz w:val="14"/>
        <w:szCs w:val="14"/>
      </w:rPr>
      <w:t xml:space="preserve"> </w:t>
    </w:r>
    <w:sdt>
      <w:sdtPr>
        <w:rPr>
          <w:sz w:val="14"/>
          <w:szCs w:val="14"/>
          <w:lang w:val="af-ZA"/>
        </w:rPr>
        <w:alias w:val="Subject"/>
        <w:id w:val="440497282"/>
        <w:placeholder>
          <w:docPart w:val="80A35FE726BC4DC98A2E73B4DCE2CDDD"/>
        </w:placeholde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FSMA_2017_05-01</w:t>
        </w:r>
      </w:sdtContent>
    </w:sdt>
    <w:r w:rsidRPr="009653AD">
      <w:rPr>
        <w:sz w:val="14"/>
        <w:szCs w:val="14"/>
        <w:lang w:val="af-ZA"/>
      </w:rPr>
      <w:t xml:space="preserve"> </w:t>
    </w:r>
    <w:r>
      <w:rPr>
        <w:sz w:val="14"/>
        <w:szCs w:val="14"/>
        <w:lang w:val="af-ZA"/>
      </w:rPr>
      <w:t xml:space="preserve">of </w:t>
    </w:r>
    <w:sdt>
      <w:sdtPr>
        <w:rPr>
          <w:sz w:val="14"/>
          <w:szCs w:val="14"/>
          <w:lang w:val="af-ZA"/>
        </w:rPr>
        <w:id w:val="21044235"/>
        <w:placeholder>
          <w:docPart w:val="BC63FB80227C43F79CD314074487E9E8"/>
        </w:placeholder>
        <w:date w:fullDate="2017-02-24T00:00:00Z">
          <w:dateFormat w:val="d/MM/yyyy"/>
          <w:lid w:val="nl-BE"/>
          <w:storeMappedDataAs w:val="dateTime"/>
          <w:calendar w:val="gregorian"/>
        </w:date>
      </w:sdtPr>
      <w:sdtEndPr/>
      <w:sdtContent>
        <w:r>
          <w:rPr>
            <w:sz w:val="14"/>
            <w:szCs w:val="14"/>
            <w:lang w:val="nl-BE"/>
          </w:rPr>
          <w:t>24/02/2017</w:t>
        </w:r>
      </w:sdtContent>
    </w:sdt>
    <w:r>
      <w:rPr>
        <w:sz w:val="14"/>
        <w:szCs w:val="14"/>
      </w:rPr>
      <w:tab/>
    </w:r>
    <w:bookmarkStart w:id="4" w:name="bkmTitle2"/>
    <w:bookmarkEnd w:id="4"/>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864" w:rsidRDefault="00802864" w:rsidP="00424A54">
    <w:pPr>
      <w:pStyle w:val="Heade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190C68">
      <w:rPr>
        <w:b/>
        <w:noProof/>
        <w:sz w:val="14"/>
        <w:szCs w:val="14"/>
      </w:rPr>
      <w:t>5</w:t>
    </w:r>
    <w:r w:rsidRPr="00930E51">
      <w:rPr>
        <w:b/>
        <w:sz w:val="14"/>
        <w:szCs w:val="14"/>
      </w:rPr>
      <w:fldChar w:fldCharType="end"/>
    </w:r>
    <w:r>
      <w:rPr>
        <w:b/>
        <w:sz w:val="14"/>
        <w:szCs w:val="14"/>
      </w:rPr>
      <w:t>/</w:t>
    </w:r>
    <w:r w:rsidR="00190C68">
      <w:fldChar w:fldCharType="begin"/>
    </w:r>
    <w:r w:rsidR="00190C68">
      <w:instrText xml:space="preserve"> NUMPAGES   \* MERGEFORMAT </w:instrText>
    </w:r>
    <w:r w:rsidR="00190C68">
      <w:fldChar w:fldCharType="separate"/>
    </w:r>
    <w:r w:rsidR="00190C68" w:rsidRPr="00190C68">
      <w:rPr>
        <w:b/>
        <w:noProof/>
        <w:sz w:val="14"/>
        <w:szCs w:val="14"/>
      </w:rPr>
      <w:t>17</w:t>
    </w:r>
    <w:r w:rsidR="00190C68">
      <w:rPr>
        <w:b/>
        <w:noProof/>
        <w:sz w:val="14"/>
        <w:szCs w:val="14"/>
      </w:rPr>
      <w:fldChar w:fldCharType="end"/>
    </w:r>
    <w:r>
      <w:rPr>
        <w:sz w:val="14"/>
        <w:szCs w:val="14"/>
      </w:rPr>
      <w:t xml:space="preserve"> </w:t>
    </w:r>
    <w:r w:rsidRPr="009D5F24">
      <w:rPr>
        <w:b/>
        <w:color w:val="BBCCCC"/>
        <w:sz w:val="14"/>
        <w:szCs w:val="14"/>
      </w:rPr>
      <w:t>/</w:t>
    </w:r>
    <w:r>
      <w:rPr>
        <w:sz w:val="14"/>
        <w:szCs w:val="14"/>
      </w:rPr>
      <w:t xml:space="preserve"> </w:t>
    </w:r>
    <w:sdt>
      <w:sdtPr>
        <w:rPr>
          <w:sz w:val="14"/>
          <w:szCs w:val="14"/>
          <w:lang w:val="af-ZA"/>
        </w:rPr>
        <w:alias w:val="Subject"/>
        <w:id w:val="1113637466"/>
        <w:placeholder>
          <w:docPart w:val="3172AC41BB744E579905E23610A28FFB"/>
        </w:placeholde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FSMA_2017_05-01</w:t>
        </w:r>
      </w:sdtContent>
    </w:sdt>
    <w:r w:rsidRPr="009653AD">
      <w:rPr>
        <w:sz w:val="14"/>
        <w:szCs w:val="14"/>
        <w:lang w:val="af-ZA"/>
      </w:rPr>
      <w:t xml:space="preserve"> </w:t>
    </w:r>
    <w:r>
      <w:rPr>
        <w:sz w:val="14"/>
        <w:szCs w:val="14"/>
        <w:lang w:val="af-ZA"/>
      </w:rPr>
      <w:t xml:space="preserve">of </w:t>
    </w:r>
    <w:sdt>
      <w:sdtPr>
        <w:rPr>
          <w:sz w:val="14"/>
          <w:szCs w:val="14"/>
          <w:lang w:val="af-ZA"/>
        </w:rPr>
        <w:id w:val="1785457274"/>
        <w:placeholder>
          <w:docPart w:val="BB2D4B5E20D049FD9882228F96B74965"/>
        </w:placeholder>
        <w:date w:fullDate="2017-02-24T00:00:00Z">
          <w:dateFormat w:val="d/MM/yyyy"/>
          <w:lid w:val="nl-BE"/>
          <w:storeMappedDataAs w:val="dateTime"/>
          <w:calendar w:val="gregorian"/>
        </w:date>
      </w:sdtPr>
      <w:sdtEndPr/>
      <w:sdtContent>
        <w:r>
          <w:rPr>
            <w:sz w:val="14"/>
            <w:szCs w:val="14"/>
            <w:lang w:val="nl-BE"/>
          </w:rPr>
          <w:t>24/02/2017</w:t>
        </w:r>
      </w:sdtContent>
    </w:sdt>
  </w:p>
  <w:p w:rsidR="00802864" w:rsidRDefault="008028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770BCD"/>
    <w:multiLevelType w:val="hybridMultilevel"/>
    <w:tmpl w:val="CBA8989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70"/>
    <w:rsid w:val="00022F1B"/>
    <w:rsid w:val="00027D12"/>
    <w:rsid w:val="0003015F"/>
    <w:rsid w:val="00042475"/>
    <w:rsid w:val="000446FE"/>
    <w:rsid w:val="00062E1C"/>
    <w:rsid w:val="0007146D"/>
    <w:rsid w:val="00083008"/>
    <w:rsid w:val="00095003"/>
    <w:rsid w:val="000B4062"/>
    <w:rsid w:val="000F4DD2"/>
    <w:rsid w:val="000F6E4C"/>
    <w:rsid w:val="0010797A"/>
    <w:rsid w:val="001114D2"/>
    <w:rsid w:val="00115592"/>
    <w:rsid w:val="00122CCF"/>
    <w:rsid w:val="00123B9B"/>
    <w:rsid w:val="00126171"/>
    <w:rsid w:val="00133138"/>
    <w:rsid w:val="001339C5"/>
    <w:rsid w:val="0014237E"/>
    <w:rsid w:val="00142A64"/>
    <w:rsid w:val="0014758E"/>
    <w:rsid w:val="00163B3A"/>
    <w:rsid w:val="0017439D"/>
    <w:rsid w:val="001777F7"/>
    <w:rsid w:val="0018211B"/>
    <w:rsid w:val="00184960"/>
    <w:rsid w:val="00190C68"/>
    <w:rsid w:val="00196400"/>
    <w:rsid w:val="001A0F7B"/>
    <w:rsid w:val="001B38EF"/>
    <w:rsid w:val="001B5108"/>
    <w:rsid w:val="001C60C1"/>
    <w:rsid w:val="001C7498"/>
    <w:rsid w:val="001D3324"/>
    <w:rsid w:val="001F3481"/>
    <w:rsid w:val="0020686A"/>
    <w:rsid w:val="0021658D"/>
    <w:rsid w:val="00236224"/>
    <w:rsid w:val="002368EB"/>
    <w:rsid w:val="00246D73"/>
    <w:rsid w:val="002479B9"/>
    <w:rsid w:val="0026408C"/>
    <w:rsid w:val="0027345F"/>
    <w:rsid w:val="0027735D"/>
    <w:rsid w:val="002A4B22"/>
    <w:rsid w:val="002A6267"/>
    <w:rsid w:val="002B5070"/>
    <w:rsid w:val="002C2D04"/>
    <w:rsid w:val="002C5147"/>
    <w:rsid w:val="002D3F08"/>
    <w:rsid w:val="002E4873"/>
    <w:rsid w:val="002F5B50"/>
    <w:rsid w:val="00302E5A"/>
    <w:rsid w:val="00327D6A"/>
    <w:rsid w:val="00335DAD"/>
    <w:rsid w:val="00335E47"/>
    <w:rsid w:val="003447B9"/>
    <w:rsid w:val="003519A2"/>
    <w:rsid w:val="003554C9"/>
    <w:rsid w:val="003902FA"/>
    <w:rsid w:val="00394B87"/>
    <w:rsid w:val="003A04E7"/>
    <w:rsid w:val="003A4C79"/>
    <w:rsid w:val="003D04CE"/>
    <w:rsid w:val="003D2960"/>
    <w:rsid w:val="003F4914"/>
    <w:rsid w:val="00403663"/>
    <w:rsid w:val="00410C1E"/>
    <w:rsid w:val="00412C74"/>
    <w:rsid w:val="00414650"/>
    <w:rsid w:val="00424A54"/>
    <w:rsid w:val="00427BCC"/>
    <w:rsid w:val="0043279B"/>
    <w:rsid w:val="00432E4F"/>
    <w:rsid w:val="00437A14"/>
    <w:rsid w:val="004663A6"/>
    <w:rsid w:val="00472B99"/>
    <w:rsid w:val="00490005"/>
    <w:rsid w:val="004901A2"/>
    <w:rsid w:val="0049090F"/>
    <w:rsid w:val="00495DFB"/>
    <w:rsid w:val="004B0932"/>
    <w:rsid w:val="004B2BE9"/>
    <w:rsid w:val="004C7979"/>
    <w:rsid w:val="004E3C43"/>
    <w:rsid w:val="004E3FE0"/>
    <w:rsid w:val="005131A3"/>
    <w:rsid w:val="00521207"/>
    <w:rsid w:val="0054674E"/>
    <w:rsid w:val="00553DC9"/>
    <w:rsid w:val="00570CC8"/>
    <w:rsid w:val="005824AA"/>
    <w:rsid w:val="00586175"/>
    <w:rsid w:val="00593F2A"/>
    <w:rsid w:val="005A01D5"/>
    <w:rsid w:val="005A6570"/>
    <w:rsid w:val="005B10E2"/>
    <w:rsid w:val="005B148A"/>
    <w:rsid w:val="005C151E"/>
    <w:rsid w:val="005D47A1"/>
    <w:rsid w:val="005F38DD"/>
    <w:rsid w:val="0060097B"/>
    <w:rsid w:val="00636014"/>
    <w:rsid w:val="00637104"/>
    <w:rsid w:val="00643E9F"/>
    <w:rsid w:val="00647F08"/>
    <w:rsid w:val="00650D96"/>
    <w:rsid w:val="006520EA"/>
    <w:rsid w:val="00653354"/>
    <w:rsid w:val="006634DC"/>
    <w:rsid w:val="00685D0B"/>
    <w:rsid w:val="00690925"/>
    <w:rsid w:val="00691980"/>
    <w:rsid w:val="00691CF3"/>
    <w:rsid w:val="006932C9"/>
    <w:rsid w:val="006B5FB5"/>
    <w:rsid w:val="006C6EB0"/>
    <w:rsid w:val="006C79D9"/>
    <w:rsid w:val="006D22D6"/>
    <w:rsid w:val="006D4529"/>
    <w:rsid w:val="006E55B0"/>
    <w:rsid w:val="007012F8"/>
    <w:rsid w:val="00707E24"/>
    <w:rsid w:val="00732376"/>
    <w:rsid w:val="0073513A"/>
    <w:rsid w:val="0074255C"/>
    <w:rsid w:val="00752B7C"/>
    <w:rsid w:val="00766A3E"/>
    <w:rsid w:val="0077431A"/>
    <w:rsid w:val="007945CB"/>
    <w:rsid w:val="00794766"/>
    <w:rsid w:val="007A4C48"/>
    <w:rsid w:val="007A5882"/>
    <w:rsid w:val="007B7678"/>
    <w:rsid w:val="007C0735"/>
    <w:rsid w:val="007D0324"/>
    <w:rsid w:val="007E331A"/>
    <w:rsid w:val="007F23DC"/>
    <w:rsid w:val="007F3321"/>
    <w:rsid w:val="00802864"/>
    <w:rsid w:val="008034CA"/>
    <w:rsid w:val="008152D1"/>
    <w:rsid w:val="00823BC5"/>
    <w:rsid w:val="00830AED"/>
    <w:rsid w:val="00833A3F"/>
    <w:rsid w:val="00833B67"/>
    <w:rsid w:val="00840B0D"/>
    <w:rsid w:val="00846214"/>
    <w:rsid w:val="00871482"/>
    <w:rsid w:val="008719CB"/>
    <w:rsid w:val="0087544B"/>
    <w:rsid w:val="00882CD2"/>
    <w:rsid w:val="00886CDE"/>
    <w:rsid w:val="00893729"/>
    <w:rsid w:val="008A2E45"/>
    <w:rsid w:val="008A3147"/>
    <w:rsid w:val="008A3A14"/>
    <w:rsid w:val="008A6834"/>
    <w:rsid w:val="008D0DAF"/>
    <w:rsid w:val="008E51DB"/>
    <w:rsid w:val="008E6829"/>
    <w:rsid w:val="008F2635"/>
    <w:rsid w:val="008F668A"/>
    <w:rsid w:val="008F7875"/>
    <w:rsid w:val="009008C7"/>
    <w:rsid w:val="00906825"/>
    <w:rsid w:val="00907C69"/>
    <w:rsid w:val="00917123"/>
    <w:rsid w:val="00930E51"/>
    <w:rsid w:val="0095324E"/>
    <w:rsid w:val="009653AD"/>
    <w:rsid w:val="009703B2"/>
    <w:rsid w:val="009836C2"/>
    <w:rsid w:val="00996572"/>
    <w:rsid w:val="009B12E0"/>
    <w:rsid w:val="009C2825"/>
    <w:rsid w:val="009D5F24"/>
    <w:rsid w:val="009E25C5"/>
    <w:rsid w:val="009E3630"/>
    <w:rsid w:val="009E567E"/>
    <w:rsid w:val="00A11C81"/>
    <w:rsid w:val="00A2165E"/>
    <w:rsid w:val="00A25C5A"/>
    <w:rsid w:val="00A37BC2"/>
    <w:rsid w:val="00A4009F"/>
    <w:rsid w:val="00A45A01"/>
    <w:rsid w:val="00A54581"/>
    <w:rsid w:val="00A60EE1"/>
    <w:rsid w:val="00A66F34"/>
    <w:rsid w:val="00A71F39"/>
    <w:rsid w:val="00A7232E"/>
    <w:rsid w:val="00A80A4F"/>
    <w:rsid w:val="00A87119"/>
    <w:rsid w:val="00A90817"/>
    <w:rsid w:val="00A91322"/>
    <w:rsid w:val="00AD2117"/>
    <w:rsid w:val="00AF2798"/>
    <w:rsid w:val="00AF7885"/>
    <w:rsid w:val="00B0465B"/>
    <w:rsid w:val="00B21EC8"/>
    <w:rsid w:val="00B25492"/>
    <w:rsid w:val="00B50EFE"/>
    <w:rsid w:val="00B80898"/>
    <w:rsid w:val="00B83FD3"/>
    <w:rsid w:val="00B94CE0"/>
    <w:rsid w:val="00BA1666"/>
    <w:rsid w:val="00BA2C57"/>
    <w:rsid w:val="00BC4221"/>
    <w:rsid w:val="00BD0041"/>
    <w:rsid w:val="00BF1984"/>
    <w:rsid w:val="00BF6060"/>
    <w:rsid w:val="00C11AC1"/>
    <w:rsid w:val="00C12221"/>
    <w:rsid w:val="00C32D41"/>
    <w:rsid w:val="00C52236"/>
    <w:rsid w:val="00C6354C"/>
    <w:rsid w:val="00C86AE2"/>
    <w:rsid w:val="00C93092"/>
    <w:rsid w:val="00C9498D"/>
    <w:rsid w:val="00CC0F63"/>
    <w:rsid w:val="00CE13CC"/>
    <w:rsid w:val="00CF335A"/>
    <w:rsid w:val="00CF3EC3"/>
    <w:rsid w:val="00CF72AD"/>
    <w:rsid w:val="00D00875"/>
    <w:rsid w:val="00D037C1"/>
    <w:rsid w:val="00D16121"/>
    <w:rsid w:val="00D2686D"/>
    <w:rsid w:val="00D34AE4"/>
    <w:rsid w:val="00D56856"/>
    <w:rsid w:val="00D57D23"/>
    <w:rsid w:val="00D72CDA"/>
    <w:rsid w:val="00D811BB"/>
    <w:rsid w:val="00D81C58"/>
    <w:rsid w:val="00D9781C"/>
    <w:rsid w:val="00DC1837"/>
    <w:rsid w:val="00E16BBF"/>
    <w:rsid w:val="00E208CF"/>
    <w:rsid w:val="00E4189D"/>
    <w:rsid w:val="00E755A8"/>
    <w:rsid w:val="00E85190"/>
    <w:rsid w:val="00E95EF4"/>
    <w:rsid w:val="00E978CB"/>
    <w:rsid w:val="00EA7462"/>
    <w:rsid w:val="00EE6E45"/>
    <w:rsid w:val="00EF46B9"/>
    <w:rsid w:val="00EF57F5"/>
    <w:rsid w:val="00F17728"/>
    <w:rsid w:val="00F30985"/>
    <w:rsid w:val="00F4657F"/>
    <w:rsid w:val="00F46B20"/>
    <w:rsid w:val="00F54DCB"/>
    <w:rsid w:val="00F55EA5"/>
    <w:rsid w:val="00F56259"/>
    <w:rsid w:val="00F56ACF"/>
    <w:rsid w:val="00F6257F"/>
    <w:rsid w:val="00F70469"/>
    <w:rsid w:val="00F75DE6"/>
    <w:rsid w:val="00F80A58"/>
    <w:rsid w:val="00F87C0F"/>
    <w:rsid w:val="00F9037B"/>
    <w:rsid w:val="00FC5BCC"/>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55D74C"/>
  <w15:docId w15:val="{3095F550-2C22-410E-B69E-983D9E21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F"/>
    <w:pPr>
      <w:spacing w:after="260" w:line="260" w:lineRule="atLeast"/>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table" w:customStyle="1" w:styleId="TableGrid1">
    <w:name w:val="Table Grid1"/>
    <w:basedOn w:val="TableNormal"/>
    <w:next w:val="TableGrid"/>
    <w:uiPriority w:val="39"/>
    <w:rsid w:val="009D5F24"/>
    <w:pPr>
      <w:spacing w:after="0" w:line="240" w:lineRule="auto"/>
    </w:pPr>
    <w:rPr>
      <w:rFonts w:eastAsia="Times New Roman"/>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Note de bas de page Car Car Car Car Car Car Car Car Car Car Car,Note de bas de page Car Car Car,Note de bas de page Car Car Car Car Car Car Car Car,Note de bas de page3 Car,Note de bas de page3 Car Car,Footnote Text Char1,ft,Fußnotentextf"/>
    <w:basedOn w:val="Normal"/>
    <w:link w:val="FootnoteTextChar"/>
    <w:uiPriority w:val="99"/>
    <w:unhideWhenUsed/>
    <w:qFormat/>
    <w:rsid w:val="009D5F24"/>
    <w:pPr>
      <w:spacing w:after="0" w:line="240" w:lineRule="auto"/>
    </w:pPr>
    <w:rPr>
      <w:rFonts w:ascii="Calibri" w:eastAsia="Times New Roman" w:hAnsi="Calibri"/>
      <w:sz w:val="20"/>
      <w:szCs w:val="20"/>
      <w:lang w:val="nl-BE" w:eastAsia="fr-BE"/>
    </w:rPr>
  </w:style>
  <w:style w:type="character" w:customStyle="1" w:styleId="FootnoteTextChar">
    <w:name w:val="Footnote Text Char"/>
    <w:aliases w:val="Note de bas de page Car Car Car Car Car Car Car Car Car Car Car Char,Note de bas de page Car Car Car Char,Note de bas de page Car Car Car Car Car Car Car Car Char,Note de bas de page3 Car Char,Note de bas de page3 Car Car Char,ft Char"/>
    <w:basedOn w:val="DefaultParagraphFont"/>
    <w:link w:val="FootnoteText"/>
    <w:uiPriority w:val="99"/>
    <w:qFormat/>
    <w:rsid w:val="009D5F24"/>
    <w:rPr>
      <w:rFonts w:ascii="Calibri" w:eastAsia="Times New Roman" w:hAnsi="Calibri"/>
      <w:sz w:val="20"/>
      <w:szCs w:val="20"/>
      <w:lang w:val="nl-BE" w:eastAsia="fr-BE"/>
    </w:rPr>
  </w:style>
  <w:style w:type="character" w:styleId="FootnoteReference">
    <w:name w:val="footnote reference"/>
    <w:aliases w:val="fr,SUPERS,Footnote reference number,Footnote symbol,note TESI,-E Fußnotenzeichen,number,BVI fnr,Footnote Reference Superscript,(Footnote Reference),EN Footnote Reference,Voetnootverwijzing,Times 10 Point,Exposant 3 Poi"/>
    <w:basedOn w:val="DefaultParagraphFont"/>
    <w:link w:val="Superscript6Point"/>
    <w:uiPriority w:val="99"/>
    <w:unhideWhenUsed/>
    <w:qFormat/>
    <w:rsid w:val="009D5F24"/>
    <w:rPr>
      <w:vertAlign w:val="superscript"/>
    </w:rPr>
  </w:style>
  <w:style w:type="paragraph" w:styleId="ListParagraph">
    <w:name w:val="List Paragraph"/>
    <w:basedOn w:val="Normal"/>
    <w:uiPriority w:val="34"/>
    <w:rsid w:val="007012F8"/>
    <w:pPr>
      <w:ind w:left="720"/>
      <w:contextualSpacing/>
    </w:pPr>
  </w:style>
  <w:style w:type="character" w:styleId="CommentReference">
    <w:name w:val="annotation reference"/>
    <w:basedOn w:val="DefaultParagraphFont"/>
    <w:uiPriority w:val="99"/>
    <w:semiHidden/>
    <w:unhideWhenUsed/>
    <w:rsid w:val="00472B99"/>
    <w:rPr>
      <w:sz w:val="16"/>
      <w:szCs w:val="16"/>
    </w:rPr>
  </w:style>
  <w:style w:type="paragraph" w:styleId="CommentText">
    <w:name w:val="annotation text"/>
    <w:basedOn w:val="Normal"/>
    <w:link w:val="CommentTextChar"/>
    <w:uiPriority w:val="99"/>
    <w:semiHidden/>
    <w:unhideWhenUsed/>
    <w:rsid w:val="00472B99"/>
    <w:pPr>
      <w:spacing w:line="240" w:lineRule="auto"/>
    </w:pPr>
    <w:rPr>
      <w:sz w:val="20"/>
      <w:szCs w:val="20"/>
    </w:rPr>
  </w:style>
  <w:style w:type="character" w:customStyle="1" w:styleId="CommentTextChar">
    <w:name w:val="Comment Text Char"/>
    <w:basedOn w:val="DefaultParagraphFont"/>
    <w:link w:val="CommentText"/>
    <w:uiPriority w:val="99"/>
    <w:semiHidden/>
    <w:rsid w:val="00472B99"/>
    <w:rPr>
      <w:sz w:val="20"/>
      <w:szCs w:val="20"/>
      <w:lang w:val="en-GB"/>
    </w:rPr>
  </w:style>
  <w:style w:type="paragraph" w:styleId="CommentSubject">
    <w:name w:val="annotation subject"/>
    <w:basedOn w:val="CommentText"/>
    <w:next w:val="CommentText"/>
    <w:link w:val="CommentSubjectChar"/>
    <w:uiPriority w:val="99"/>
    <w:semiHidden/>
    <w:unhideWhenUsed/>
    <w:rsid w:val="00472B99"/>
    <w:rPr>
      <w:b/>
      <w:bCs/>
    </w:rPr>
  </w:style>
  <w:style w:type="character" w:customStyle="1" w:styleId="CommentSubjectChar">
    <w:name w:val="Comment Subject Char"/>
    <w:basedOn w:val="CommentTextChar"/>
    <w:link w:val="CommentSubject"/>
    <w:uiPriority w:val="99"/>
    <w:semiHidden/>
    <w:rsid w:val="00472B99"/>
    <w:rPr>
      <w:b/>
      <w:bCs/>
      <w:sz w:val="20"/>
      <w:szCs w:val="20"/>
      <w:lang w:val="en-GB"/>
    </w:rPr>
  </w:style>
  <w:style w:type="paragraph" w:customStyle="1" w:styleId="Superscript6Point">
    <w:name w:val="Superscript 6 Point"/>
    <w:aliases w:val="Odwołanie przypisu,de nota al pie,footnote ref,2001+ Fußnotenzeichen, Exposant 3 Point,BVI fnr Знак Знак,BVI fnr Car Car Знак Знак,BVI fnr Car Знак Знак,R,Ref,16 Point"/>
    <w:basedOn w:val="Normal"/>
    <w:link w:val="FootnoteReference"/>
    <w:uiPriority w:val="99"/>
    <w:rsid w:val="00C6354C"/>
    <w:pPr>
      <w:spacing w:before="120" w:after="160" w:line="240" w:lineRule="exact"/>
    </w:pPr>
    <w:rPr>
      <w:vertAlign w:val="superscript"/>
      <w:lang w:val="nl-NL"/>
    </w:rPr>
  </w:style>
  <w:style w:type="paragraph" w:customStyle="1" w:styleId="oj-normal">
    <w:name w:val="oj-normal"/>
    <w:basedOn w:val="Normal"/>
    <w:rsid w:val="00802864"/>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oj-super">
    <w:name w:val="oj-super"/>
    <w:basedOn w:val="DefaultParagraphFont"/>
    <w:rsid w:val="00802864"/>
  </w:style>
  <w:style w:type="character" w:customStyle="1" w:styleId="oj-italic">
    <w:name w:val="oj-italic"/>
    <w:basedOn w:val="DefaultParagraphFont"/>
    <w:rsid w:val="00802864"/>
  </w:style>
  <w:style w:type="paragraph" w:customStyle="1" w:styleId="oj-ti-tbl">
    <w:name w:val="oj-ti-tbl"/>
    <w:basedOn w:val="Normal"/>
    <w:rsid w:val="00802864"/>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customStyle="1" w:styleId="oj-tbl-num">
    <w:name w:val="oj-tbl-num"/>
    <w:basedOn w:val="Normal"/>
    <w:rsid w:val="00802864"/>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customStyle="1" w:styleId="oj-ti-grseq-1">
    <w:name w:val="oj-ti-grseq-1"/>
    <w:basedOn w:val="Normal"/>
    <w:rsid w:val="00802864"/>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oj-bold">
    <w:name w:val="oj-bold"/>
    <w:basedOn w:val="DefaultParagraphFont"/>
    <w:rsid w:val="00802864"/>
  </w:style>
  <w:style w:type="paragraph" w:customStyle="1" w:styleId="oj-tbl-hdr">
    <w:name w:val="oj-tbl-hdr"/>
    <w:basedOn w:val="Normal"/>
    <w:rsid w:val="00802864"/>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customStyle="1" w:styleId="oj-tbl-txt">
    <w:name w:val="oj-tbl-txt"/>
    <w:basedOn w:val="Normal"/>
    <w:rsid w:val="00802864"/>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NormalWeb">
    <w:name w:val="Normal (Web)"/>
    <w:basedOn w:val="Normal"/>
    <w:uiPriority w:val="99"/>
    <w:semiHidden/>
    <w:unhideWhenUsed/>
    <w:rsid w:val="00802864"/>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customStyle="1" w:styleId="oj-note">
    <w:name w:val="oj-note"/>
    <w:basedOn w:val="Normal"/>
    <w:rsid w:val="00802864"/>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0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yperlink" Target="mailto:e-notification.passporting2@fsma.be"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_rels/footnotes.xml.rels><?xml version="1.0" encoding="UTF-8" standalone="yes"?>
<Relationships xmlns="http://schemas.openxmlformats.org/package/2006/relationships"><Relationship Id="rId1" Type="http://schemas.openxmlformats.org/officeDocument/2006/relationships/hyperlink" Target="mailto:e-notification.passporting2@fsma.b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938BFCDA364612A7DAA51C89273322"/>
        <w:category>
          <w:name w:val="General"/>
          <w:gallery w:val="placeholder"/>
        </w:category>
        <w:types>
          <w:type w:val="bbPlcHdr"/>
        </w:types>
        <w:behaviors>
          <w:behavior w:val="content"/>
        </w:behaviors>
        <w:guid w:val="{228E3563-2D92-4239-BC80-A5EEAB6297D1}"/>
      </w:docPartPr>
      <w:docPartBody>
        <w:p w:rsidR="00C45246" w:rsidRDefault="00D36496" w:rsidP="00D36496">
          <w:pPr>
            <w:pStyle w:val="77938BFCDA364612A7DAA51C892733221"/>
          </w:pPr>
          <w:r w:rsidRPr="005A01D5">
            <w:rPr>
              <w:rStyle w:val="PlaceholderText"/>
              <w:rFonts w:ascii="Arial" w:hAnsi="Arial" w:cs="Arial"/>
              <w:szCs w:val="20"/>
            </w:rPr>
            <w:t>Click here to enter the reference.</w:t>
          </w:r>
        </w:p>
      </w:docPartBody>
    </w:docPart>
    <w:docPart>
      <w:docPartPr>
        <w:name w:val="9971DEFD4ED74FBF9B608F6ED046862A"/>
        <w:category>
          <w:name w:val="General"/>
          <w:gallery w:val="placeholder"/>
        </w:category>
        <w:types>
          <w:type w:val="bbPlcHdr"/>
        </w:types>
        <w:behaviors>
          <w:behavior w:val="content"/>
        </w:behaviors>
        <w:guid w:val="{A2826035-A904-404C-B3A9-8F7FE62C5B3F}"/>
      </w:docPartPr>
      <w:docPartBody>
        <w:p w:rsidR="00C45246" w:rsidRDefault="00D36496" w:rsidP="00D36496">
          <w:pPr>
            <w:pStyle w:val="9971DEFD4ED74FBF9B608F6ED046862A1"/>
          </w:pPr>
          <w:r w:rsidRPr="0043614D">
            <w:rPr>
              <w:rStyle w:val="PlaceholderText"/>
            </w:rPr>
            <w:t>Click here to enter a date.</w:t>
          </w:r>
        </w:p>
      </w:docPartBody>
    </w:docPart>
    <w:docPart>
      <w:docPartPr>
        <w:name w:val="ABB9C2851FED47E2A105D941D5B969DA"/>
        <w:category>
          <w:name w:val="General"/>
          <w:gallery w:val="placeholder"/>
        </w:category>
        <w:types>
          <w:type w:val="bbPlcHdr"/>
        </w:types>
        <w:behaviors>
          <w:behavior w:val="content"/>
        </w:behaviors>
        <w:guid w:val="{4D6C6E98-3990-4A54-A7FC-9088B5D3B982}"/>
      </w:docPartPr>
      <w:docPartBody>
        <w:p w:rsidR="00C45246" w:rsidRDefault="00D36496" w:rsidP="00D36496">
          <w:pPr>
            <w:pStyle w:val="ABB9C2851FED47E2A105D941D5B969DA1"/>
          </w:pPr>
          <w:r w:rsidRPr="005A01D5">
            <w:rPr>
              <w:rStyle w:val="PlaceholderText"/>
              <w:szCs w:val="20"/>
            </w:rPr>
            <w:t>Click here to enter the application field.</w:t>
          </w:r>
        </w:p>
      </w:docPartBody>
    </w:docPart>
    <w:docPart>
      <w:docPartPr>
        <w:name w:val="8DE3FB465DD14DD8BD28A573CC082A8E"/>
        <w:category>
          <w:name w:val="General"/>
          <w:gallery w:val="placeholder"/>
        </w:category>
        <w:types>
          <w:type w:val="bbPlcHdr"/>
        </w:types>
        <w:behaviors>
          <w:behavior w:val="content"/>
        </w:behaviors>
        <w:guid w:val="{0670F3AD-7CDB-412F-9671-0B121A5308C6}"/>
      </w:docPartPr>
      <w:docPartBody>
        <w:p w:rsidR="002A7488" w:rsidRDefault="00D36496" w:rsidP="00D36496">
          <w:pPr>
            <w:pStyle w:val="8DE3FB465DD14DD8BD28A573CC082A8E"/>
          </w:pPr>
          <w:r w:rsidRPr="009653AD">
            <w:rPr>
              <w:sz w:val="14"/>
              <w:szCs w:val="14"/>
              <w:lang w:val="af-ZA"/>
            </w:rPr>
            <w:t>[Subject]</w:t>
          </w:r>
        </w:p>
      </w:docPartBody>
    </w:docPart>
    <w:docPart>
      <w:docPartPr>
        <w:name w:val="FDC80CBC9EE0490F83AC4F5D6878A92E"/>
        <w:category>
          <w:name w:val="General"/>
          <w:gallery w:val="placeholder"/>
        </w:category>
        <w:types>
          <w:type w:val="bbPlcHdr"/>
        </w:types>
        <w:behaviors>
          <w:behavior w:val="content"/>
        </w:behaviors>
        <w:guid w:val="{3EEE707F-71D1-4918-A8D6-4F95A967158E}"/>
      </w:docPartPr>
      <w:docPartBody>
        <w:p w:rsidR="002A7488" w:rsidRDefault="00D36496" w:rsidP="00D36496">
          <w:pPr>
            <w:pStyle w:val="FDC80CBC9EE0490F83AC4F5D6878A92E"/>
          </w:pPr>
          <w:r w:rsidRPr="00394B87">
            <w:rPr>
              <w:rStyle w:val="PlaceholderText"/>
              <w:sz w:val="14"/>
              <w:szCs w:val="14"/>
            </w:rPr>
            <w:t>date</w:t>
          </w:r>
        </w:p>
      </w:docPartBody>
    </w:docPart>
    <w:docPart>
      <w:docPartPr>
        <w:name w:val="503B3FFEB04945D4BEE0D0C8F3F05C62"/>
        <w:category>
          <w:name w:val="General"/>
          <w:gallery w:val="placeholder"/>
        </w:category>
        <w:types>
          <w:type w:val="bbPlcHdr"/>
        </w:types>
        <w:behaviors>
          <w:behavior w:val="content"/>
        </w:behaviors>
        <w:guid w:val="{B3B1C6CB-22F7-4DCC-90BE-306379A96B43}"/>
      </w:docPartPr>
      <w:docPartBody>
        <w:p w:rsidR="002A7488" w:rsidRDefault="00D36496" w:rsidP="00D36496">
          <w:pPr>
            <w:pStyle w:val="503B3FFEB04945D4BEE0D0C8F3F05C62"/>
          </w:pPr>
          <w:r w:rsidRPr="00570CC8">
            <w:rPr>
              <w:rStyle w:val="PlaceholderText"/>
              <w:rFonts w:ascii="Gotham Rounded Book" w:hAnsi="Gotham Rounded Book"/>
              <w:sz w:val="14"/>
              <w:szCs w:val="14"/>
              <w:lang w:val="fr-FR"/>
            </w:rPr>
            <w:t>0 00</w:t>
          </w:r>
        </w:p>
      </w:docPartBody>
    </w:docPart>
    <w:docPart>
      <w:docPartPr>
        <w:name w:val="80A35FE726BC4DC98A2E73B4DCE2CDDD"/>
        <w:category>
          <w:name w:val="General"/>
          <w:gallery w:val="placeholder"/>
        </w:category>
        <w:types>
          <w:type w:val="bbPlcHdr"/>
        </w:types>
        <w:behaviors>
          <w:behavior w:val="content"/>
        </w:behaviors>
        <w:guid w:val="{84C9C8D5-EA02-4757-854F-E7827C126C46}"/>
      </w:docPartPr>
      <w:docPartBody>
        <w:p w:rsidR="002A7488" w:rsidRDefault="00D36496" w:rsidP="00D36496">
          <w:pPr>
            <w:pStyle w:val="80A35FE726BC4DC98A2E73B4DCE2CDDD"/>
          </w:pPr>
          <w:r w:rsidRPr="009653AD">
            <w:rPr>
              <w:sz w:val="14"/>
              <w:szCs w:val="14"/>
              <w:lang w:val="af-ZA"/>
            </w:rPr>
            <w:t>[Subject]</w:t>
          </w:r>
        </w:p>
      </w:docPartBody>
    </w:docPart>
    <w:docPart>
      <w:docPartPr>
        <w:name w:val="BC63FB80227C43F79CD314074487E9E8"/>
        <w:category>
          <w:name w:val="General"/>
          <w:gallery w:val="placeholder"/>
        </w:category>
        <w:types>
          <w:type w:val="bbPlcHdr"/>
        </w:types>
        <w:behaviors>
          <w:behavior w:val="content"/>
        </w:behaviors>
        <w:guid w:val="{F415B337-9970-47B2-A0D9-7E400944F4EA}"/>
      </w:docPartPr>
      <w:docPartBody>
        <w:p w:rsidR="002A7488" w:rsidRDefault="00D36496" w:rsidP="00D36496">
          <w:pPr>
            <w:pStyle w:val="BC63FB80227C43F79CD314074487E9E8"/>
          </w:pPr>
          <w:r w:rsidRPr="00394B87">
            <w:rPr>
              <w:rStyle w:val="PlaceholderText"/>
              <w:sz w:val="14"/>
              <w:szCs w:val="14"/>
            </w:rPr>
            <w:t>date</w:t>
          </w:r>
        </w:p>
      </w:docPartBody>
    </w:docPart>
    <w:docPart>
      <w:docPartPr>
        <w:name w:val="3172AC41BB744E579905E23610A28FFB"/>
        <w:category>
          <w:name w:val="General"/>
          <w:gallery w:val="placeholder"/>
        </w:category>
        <w:types>
          <w:type w:val="bbPlcHdr"/>
        </w:types>
        <w:behaviors>
          <w:behavior w:val="content"/>
        </w:behaviors>
        <w:guid w:val="{0C287BE5-A481-476A-8BA5-988345BFD06A}"/>
      </w:docPartPr>
      <w:docPartBody>
        <w:p w:rsidR="002A7488" w:rsidRDefault="00D36496" w:rsidP="00D36496">
          <w:pPr>
            <w:pStyle w:val="3172AC41BB744E579905E23610A28FFB"/>
          </w:pPr>
          <w:r w:rsidRPr="009653AD">
            <w:rPr>
              <w:sz w:val="14"/>
              <w:szCs w:val="14"/>
              <w:lang w:val="af-ZA"/>
            </w:rPr>
            <w:t>[Subject]</w:t>
          </w:r>
        </w:p>
      </w:docPartBody>
    </w:docPart>
    <w:docPart>
      <w:docPartPr>
        <w:name w:val="BB2D4B5E20D049FD9882228F96B74965"/>
        <w:category>
          <w:name w:val="General"/>
          <w:gallery w:val="placeholder"/>
        </w:category>
        <w:types>
          <w:type w:val="bbPlcHdr"/>
        </w:types>
        <w:behaviors>
          <w:behavior w:val="content"/>
        </w:behaviors>
        <w:guid w:val="{58CC03C2-D475-4D25-A13A-4FB015BCA30F}"/>
      </w:docPartPr>
      <w:docPartBody>
        <w:p w:rsidR="002A7488" w:rsidRDefault="00D36496" w:rsidP="00D36496">
          <w:pPr>
            <w:pStyle w:val="BB2D4B5E20D049FD9882228F96B74965"/>
          </w:pPr>
          <w:r w:rsidRPr="00394B87">
            <w:rPr>
              <w:rStyle w:val="PlaceholderText"/>
              <w:sz w:val="14"/>
              <w:szCs w:val="14"/>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97E"/>
    <w:rsid w:val="000D297E"/>
    <w:rsid w:val="001D50BA"/>
    <w:rsid w:val="002A7488"/>
    <w:rsid w:val="008137F3"/>
    <w:rsid w:val="009323E5"/>
    <w:rsid w:val="00A65B82"/>
    <w:rsid w:val="00C45246"/>
    <w:rsid w:val="00CF5D07"/>
    <w:rsid w:val="00D36496"/>
    <w:rsid w:val="00D61E1B"/>
    <w:rsid w:val="00DC6B08"/>
    <w:rsid w:val="00EA496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5D07"/>
  </w:style>
  <w:style w:type="paragraph" w:customStyle="1" w:styleId="77938BFCDA364612A7DAA51C89273322">
    <w:name w:val="77938BFCDA364612A7DAA51C89273322"/>
  </w:style>
  <w:style w:type="paragraph" w:customStyle="1" w:styleId="9971DEFD4ED74FBF9B608F6ED046862A">
    <w:name w:val="9971DEFD4ED74FBF9B608F6ED046862A"/>
  </w:style>
  <w:style w:type="paragraph" w:customStyle="1" w:styleId="303476EB085B400CAA8C8319F635EB9E">
    <w:name w:val="303476EB085B400CAA8C8319F635EB9E"/>
  </w:style>
  <w:style w:type="paragraph" w:customStyle="1" w:styleId="ABB9C2851FED47E2A105D941D5B969DA">
    <w:name w:val="ABB9C2851FED47E2A105D941D5B969DA"/>
  </w:style>
  <w:style w:type="paragraph" w:customStyle="1" w:styleId="E0B0F728D580452EB49F1281410137FF">
    <w:name w:val="E0B0F728D580452EB49F1281410137FF"/>
  </w:style>
  <w:style w:type="paragraph" w:customStyle="1" w:styleId="BB25074FDBDD49CF91A81B3BA331AD3F">
    <w:name w:val="BB25074FDBDD49CF91A81B3BA331AD3F"/>
    <w:rsid w:val="00D36496"/>
  </w:style>
  <w:style w:type="paragraph" w:customStyle="1" w:styleId="99DA587CB69E449ABE6FEB8CD810436A">
    <w:name w:val="99DA587CB69E449ABE6FEB8CD810436A"/>
    <w:rsid w:val="00D36496"/>
  </w:style>
  <w:style w:type="paragraph" w:customStyle="1" w:styleId="77938BFCDA364612A7DAA51C892733221">
    <w:name w:val="77938BFCDA364612A7DAA51C892733221"/>
    <w:rsid w:val="00D36496"/>
    <w:pPr>
      <w:spacing w:after="260" w:line="260" w:lineRule="atLeast"/>
    </w:pPr>
    <w:rPr>
      <w:rFonts w:eastAsiaTheme="minorHAnsi"/>
      <w:lang w:val="en-GB" w:eastAsia="en-US"/>
    </w:rPr>
  </w:style>
  <w:style w:type="paragraph" w:customStyle="1" w:styleId="9971DEFD4ED74FBF9B608F6ED046862A1">
    <w:name w:val="9971DEFD4ED74FBF9B608F6ED046862A1"/>
    <w:rsid w:val="00D36496"/>
    <w:pPr>
      <w:spacing w:after="260" w:line="260" w:lineRule="atLeast"/>
    </w:pPr>
    <w:rPr>
      <w:rFonts w:eastAsiaTheme="minorHAnsi"/>
      <w:lang w:val="en-GB" w:eastAsia="en-US"/>
    </w:rPr>
  </w:style>
  <w:style w:type="paragraph" w:customStyle="1" w:styleId="ABB9C2851FED47E2A105D941D5B969DA1">
    <w:name w:val="ABB9C2851FED47E2A105D941D5B969DA1"/>
    <w:rsid w:val="00D36496"/>
    <w:pPr>
      <w:spacing w:after="260" w:line="260" w:lineRule="atLeast"/>
    </w:pPr>
    <w:rPr>
      <w:rFonts w:eastAsiaTheme="minorHAnsi"/>
      <w:lang w:val="en-GB" w:eastAsia="en-US"/>
    </w:rPr>
  </w:style>
  <w:style w:type="paragraph" w:customStyle="1" w:styleId="8DE3FB465DD14DD8BD28A573CC082A8E">
    <w:name w:val="8DE3FB465DD14DD8BD28A573CC082A8E"/>
    <w:rsid w:val="00D36496"/>
    <w:pPr>
      <w:tabs>
        <w:tab w:val="center" w:pos="4513"/>
        <w:tab w:val="right" w:pos="9026"/>
      </w:tabs>
      <w:spacing w:after="0" w:line="240" w:lineRule="auto"/>
    </w:pPr>
    <w:rPr>
      <w:rFonts w:eastAsiaTheme="minorHAnsi"/>
      <w:lang w:val="en-GB" w:eastAsia="en-US"/>
    </w:rPr>
  </w:style>
  <w:style w:type="paragraph" w:customStyle="1" w:styleId="FDC80CBC9EE0490F83AC4F5D6878A92E">
    <w:name w:val="FDC80CBC9EE0490F83AC4F5D6878A92E"/>
    <w:rsid w:val="00D36496"/>
    <w:pPr>
      <w:tabs>
        <w:tab w:val="center" w:pos="4513"/>
        <w:tab w:val="right" w:pos="9026"/>
      </w:tabs>
      <w:spacing w:after="0" w:line="240" w:lineRule="auto"/>
    </w:pPr>
    <w:rPr>
      <w:rFonts w:eastAsiaTheme="minorHAnsi"/>
      <w:lang w:val="en-GB" w:eastAsia="en-US"/>
    </w:rPr>
  </w:style>
  <w:style w:type="paragraph" w:customStyle="1" w:styleId="503B3FFEB04945D4BEE0D0C8F3F05C62">
    <w:name w:val="503B3FFEB04945D4BEE0D0C8F3F05C62"/>
    <w:rsid w:val="00D36496"/>
    <w:pPr>
      <w:tabs>
        <w:tab w:val="center" w:pos="4513"/>
        <w:tab w:val="right" w:pos="9026"/>
      </w:tabs>
      <w:spacing w:after="0" w:line="240" w:lineRule="auto"/>
    </w:pPr>
    <w:rPr>
      <w:rFonts w:eastAsiaTheme="minorHAnsi"/>
      <w:lang w:val="en-GB" w:eastAsia="en-US"/>
    </w:rPr>
  </w:style>
  <w:style w:type="paragraph" w:customStyle="1" w:styleId="8C23C597656D47DF992C4D9D32AD3491">
    <w:name w:val="8C23C597656D47DF992C4D9D32AD3491"/>
    <w:rsid w:val="00D36496"/>
    <w:pPr>
      <w:tabs>
        <w:tab w:val="center" w:pos="4513"/>
        <w:tab w:val="right" w:pos="9026"/>
      </w:tabs>
      <w:spacing w:after="0" w:line="240" w:lineRule="auto"/>
    </w:pPr>
    <w:rPr>
      <w:rFonts w:eastAsiaTheme="minorHAnsi"/>
      <w:lang w:val="en-GB" w:eastAsia="en-US"/>
    </w:rPr>
  </w:style>
  <w:style w:type="paragraph" w:customStyle="1" w:styleId="4E9F3211FD674DDFBC5F199C4C9168B8">
    <w:name w:val="4E9F3211FD674DDFBC5F199C4C9168B8"/>
    <w:rsid w:val="00D36496"/>
    <w:pPr>
      <w:tabs>
        <w:tab w:val="center" w:pos="4513"/>
        <w:tab w:val="right" w:pos="9026"/>
      </w:tabs>
      <w:spacing w:after="0" w:line="240" w:lineRule="auto"/>
    </w:pPr>
    <w:rPr>
      <w:rFonts w:eastAsiaTheme="minorHAnsi"/>
      <w:lang w:val="en-GB" w:eastAsia="en-US"/>
    </w:rPr>
  </w:style>
  <w:style w:type="paragraph" w:customStyle="1" w:styleId="E95BFB64A09B428C92034AD5ED54D216">
    <w:name w:val="E95BFB64A09B428C92034AD5ED54D216"/>
    <w:rsid w:val="00D36496"/>
    <w:pPr>
      <w:tabs>
        <w:tab w:val="center" w:pos="4513"/>
        <w:tab w:val="right" w:pos="9026"/>
      </w:tabs>
      <w:spacing w:after="0" w:line="240" w:lineRule="auto"/>
    </w:pPr>
    <w:rPr>
      <w:rFonts w:eastAsiaTheme="minorHAnsi"/>
      <w:lang w:val="en-GB" w:eastAsia="en-US"/>
    </w:rPr>
  </w:style>
  <w:style w:type="paragraph" w:customStyle="1" w:styleId="80A35FE726BC4DC98A2E73B4DCE2CDDD">
    <w:name w:val="80A35FE726BC4DC98A2E73B4DCE2CDDD"/>
    <w:rsid w:val="00D36496"/>
    <w:pPr>
      <w:tabs>
        <w:tab w:val="center" w:pos="4513"/>
        <w:tab w:val="right" w:pos="9026"/>
      </w:tabs>
      <w:spacing w:after="0" w:line="240" w:lineRule="auto"/>
    </w:pPr>
    <w:rPr>
      <w:rFonts w:eastAsiaTheme="minorHAnsi"/>
      <w:lang w:val="en-GB" w:eastAsia="en-US"/>
    </w:rPr>
  </w:style>
  <w:style w:type="paragraph" w:customStyle="1" w:styleId="BC63FB80227C43F79CD314074487E9E8">
    <w:name w:val="BC63FB80227C43F79CD314074487E9E8"/>
    <w:rsid w:val="00D36496"/>
    <w:pPr>
      <w:tabs>
        <w:tab w:val="center" w:pos="4513"/>
        <w:tab w:val="right" w:pos="9026"/>
      </w:tabs>
      <w:spacing w:after="0" w:line="240" w:lineRule="auto"/>
    </w:pPr>
    <w:rPr>
      <w:rFonts w:eastAsiaTheme="minorHAnsi"/>
      <w:lang w:val="en-GB" w:eastAsia="en-US"/>
    </w:rPr>
  </w:style>
  <w:style w:type="paragraph" w:customStyle="1" w:styleId="3172AC41BB744E579905E23610A28FFB">
    <w:name w:val="3172AC41BB744E579905E23610A28FFB"/>
    <w:rsid w:val="00D36496"/>
    <w:pPr>
      <w:tabs>
        <w:tab w:val="center" w:pos="4513"/>
        <w:tab w:val="right" w:pos="9026"/>
      </w:tabs>
      <w:spacing w:after="0" w:line="240" w:lineRule="auto"/>
    </w:pPr>
    <w:rPr>
      <w:rFonts w:eastAsiaTheme="minorHAnsi"/>
      <w:lang w:val="en-GB" w:eastAsia="en-US"/>
    </w:rPr>
  </w:style>
  <w:style w:type="paragraph" w:customStyle="1" w:styleId="BB2D4B5E20D049FD9882228F96B74965">
    <w:name w:val="BB2D4B5E20D049FD9882228F96B74965"/>
    <w:rsid w:val="00D36496"/>
    <w:pPr>
      <w:tabs>
        <w:tab w:val="center" w:pos="4513"/>
        <w:tab w:val="right" w:pos="9026"/>
      </w:tabs>
      <w:spacing w:after="0" w:line="240" w:lineRule="auto"/>
    </w:pPr>
    <w:rPr>
      <w:rFonts w:eastAsiaTheme="minorHAnsi"/>
      <w:lang w:val="en-GB" w:eastAsia="en-US"/>
    </w:rPr>
  </w:style>
  <w:style w:type="paragraph" w:customStyle="1" w:styleId="CF1B2070FB8A4042BFD63E2B64F4C787">
    <w:name w:val="CF1B2070FB8A4042BFD63E2B64F4C787"/>
    <w:rsid w:val="00CF5D07"/>
  </w:style>
  <w:style w:type="paragraph" w:customStyle="1" w:styleId="D9592A7879284C01B848E420BC848F35">
    <w:name w:val="D9592A7879284C01B848E420BC848F35"/>
    <w:rsid w:val="00CF5D07"/>
  </w:style>
  <w:style w:type="paragraph" w:customStyle="1" w:styleId="8E210192702F4CB88065CA8F08997AF6">
    <w:name w:val="8E210192702F4CB88065CA8F08997AF6"/>
    <w:rsid w:val="00CF5D07"/>
  </w:style>
  <w:style w:type="paragraph" w:customStyle="1" w:styleId="DE940F33B8274EF88B9FD5F69A772D9E">
    <w:name w:val="DE940F33B8274EF88B9FD5F69A772D9E"/>
    <w:rsid w:val="00CF5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7d95798c7cc49018eddb0e9d5f10243 xmlns="0c2b4d14-0ef6-41a4-8ebc-a5694610298b">
      <Terms xmlns="http://schemas.microsoft.com/office/infopath/2007/PartnerControls"/>
    </e7d95798c7cc49018eddb0e9d5f10243>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Label xmlns="95f20ad4-1402-48cb-a040-33a1d26c1ed7"/>
    <TaxCatchAll xmlns="95f20ad4-1402-48cb-a040-33a1d26c1ed7">
      <Value>12</Value>
      <Value>22</Value>
      <Value>3</Value>
      <Value>15</Value>
      <Value>5</Value>
    </TaxCatchAll>
    <_dlc_DocIdPersistId xmlns="95f20ad4-1402-48cb-a040-33a1d26c1ed7" xsi:nil="true"/>
    <_dlc_DocId xmlns="95f20ad4-1402-48cb-a040-33a1d26c1ed7">8794C70C-2266-4726-ABB4-E4DAAC6F0F0E@f8dec942-cb6c-4a73-9db7-f51e0d559f0c</_dlc_DocId>
    <_dlc_DocIdUrl xmlns="95f20ad4-1402-48cb-a040-33a1d26c1ed7">
      <Url>https://1place.fsmanet.be/dossier/8794C70C-2266-4726-ABB4-E4DAAC6F0F0E/AMC-PROCOM-2024-003420/_layouts/15/DocIdRedir.aspx?ID=8794C70C-2266-4726-ABB4-E4DAAC6F0F0E%40f8dec942-cb6c-4a73-9db7-f51e0d559f0c</Url>
      <Description>8794C70C-2266-4726-ABB4-E4DAAC6F0F0E@f8dec942-cb6c-4a73-9db7-f51e0d559f0c</Description>
    </_dlc_DocIdUrl>
    <FSMAResponsible xmlns="95f20ad4-1402-48cb-a040-33a1d26c1ed7">
      <UserInfo>
        <DisplayName/>
        <AccountId xsi:nil="true"/>
        <AccountType/>
      </UserInfo>
    </FSMAResponsible>
    <FSMARelevantDossierLookup xmlns="7b995338-7266-4392-b649-be047eaee34a"/>
    <FSMADocumentDate xmlns="0c2b4d14-0ef6-41a4-8ebc-a5694610298b" xsi:nil="true"/>
    <FSMASentOut xmlns="0c2b4d14-0ef6-41a4-8ebc-a5694610298b">false</FSMASentOut>
    <a16789d6c69b4083a6824cb266570b0c xmlns="0c2b4d14-0ef6-41a4-8ebc-a5694610298b">
      <Terms xmlns="http://schemas.microsoft.com/office/infopath/2007/PartnerControls"/>
    </a16789d6c69b4083a6824cb266570b0c>
    <FSMALegalHold xmlns="0c2b4d14-0ef6-41a4-8ebc-a5694610298b">false</FSMALegalHold>
    <FSMAForDossier xmlns="0c2b4d14-0ef6-41a4-8ebc-a5694610298b">false</FSMAForDossier>
    <FSMARelevantDossiers xmlns="0c2b4d14-0ef6-41a4-8ebc-a5694610298b" xsi:nil="true"/>
    <FSMAPersonalData xmlns="0c2b4d14-0ef6-41a4-8ebc-a5694610298b">false</FSMAPersonalData>
    <FF25D9749B484798B23C47357FB06FA4 xmlns="0c2b4d14-0ef6-41a4-8ebc-a5694610298b">
      <Terms xmlns="http://schemas.microsoft.com/office/infopath/2007/PartnerControls"/>
    </FF25D9749B484798B23C47357FB06FA4>
    <a3f93dd4d3154164b9bcbbec3d11e6cd xmlns="0c2b4d14-0ef6-41a4-8ebc-a5694610298b">
      <Terms xmlns="http://schemas.microsoft.com/office/infopath/2007/PartnerControls"/>
    </a3f93dd4d3154164b9bcbbec3d11e6cd>
    <o2e868a4180d47dab69612c4e2e5756d xmlns="0c2b4d14-0ef6-41a4-8ebc-a5694610298b">
      <Terms xmlns="http://schemas.microsoft.com/office/infopath/2007/PartnerControls"/>
    </o2e868a4180d47dab69612c4e2e5756d>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A2</TermName>
          <TermId xmlns="http://schemas.microsoft.com/office/infopath/2007/PartnerControls">1a8dbfff-fdb1-474b-aa46-39bbac5df04c</TermId>
        </TermInfo>
      </Terms>
    </ef14e33ca5c3481cbfad1e6ae8a7124e>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AMC</TermName>
          <TermId xmlns="http://schemas.microsoft.com/office/infopath/2007/PartnerControls">5f1057d5-d673-4c94-aa97-bea8390c4da2</TermId>
        </TermInfo>
      </Terms>
    </j3ffc30cbd4849e9aaf5b9bacc5f6fb3>
    <i092aad688554532b3d2e6ad2cec5c6a xmlns="0c2b4d14-0ef6-41a4-8ebc-a5694610298b">
      <Terms xmlns="http://schemas.microsoft.com/office/infopath/2007/PartnerControls"/>
    </i092aad688554532b3d2e6ad2cec5c6a>
    <FSMACDCDate xmlns="0c2b4d14-0ef6-41a4-8ebc-a5694610298b">2024-07-15T22:00:00+00:00</FSMACDCDate>
    <FSMASummary xmlns="0c2b4d14-0ef6-41a4-8ebc-a5694610298b" xsi:nil="true"/>
    <FSMAEnclosedDocuments xmlns="0c2b4d14-0ef6-41a4-8ebc-a5694610298b" xsi:nil="true"/>
    <FSMACDCMember xmlns="95f20ad4-1402-48cb-a040-33a1d26c1ed7">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ocumentType xmlns="0c2b4d14-0ef6-41a4-8ebc-a5694610298b" xsi:nil="true"/>
    <FSMACDCNumbering xmlns="0c2b4d14-0ef6-41a4-8ebc-a5694610298b" xsi:nil="true"/>
    <FSMALegalReference xmlns="0c2b4d14-0ef6-41a4-8ebc-a5694610298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40BCDDE46F4F394A8F48B2465257A9D7" ma:contentTypeVersion="8" ma:contentTypeDescription="" ma:contentTypeScope="" ma:versionID="bf11b2ec90128945f7dd589476416d82">
  <xsd:schema xmlns:xsd="http://www.w3.org/2001/XMLSchema" xmlns:xs="http://www.w3.org/2001/XMLSchema" xmlns:p="http://schemas.microsoft.com/office/2006/metadata/properties" xmlns:ns2="95f20ad4-1402-48cb-a040-33a1d26c1ed7" xmlns:ns3="0c2b4d14-0ef6-41a4-8ebc-a5694610298b" xmlns:ns4="184c9235-7e05-405f-9b8a-467b46c0a0d9" xmlns:ns5="7b995338-7266-4392-b649-be047eaee34a" targetNamespace="http://schemas.microsoft.com/office/2006/metadata/properties" ma:root="true" ma:fieldsID="6db1ec61052d79e8841ff8fe698f75f8" ns2:_="" ns3:_="" ns4:_="" ns5:_="">
    <xsd:import namespace="95f20ad4-1402-48cb-a040-33a1d26c1ed7"/>
    <xsd:import namespace="0c2b4d14-0ef6-41a4-8ebc-a5694610298b"/>
    <xsd:import namespace="184c9235-7e05-405f-9b8a-467b46c0a0d9"/>
    <xsd:import namespace="7b995338-7266-4392-b649-be047eaee34a"/>
    <xsd:element name="properties">
      <xsd:complexType>
        <xsd:sequence>
          <xsd:element name="documentManagement">
            <xsd:complexType>
              <xsd:all>
                <xsd:element ref="ns3:FSMACDCDate" minOccurs="0"/>
                <xsd:element ref="ns3:FSMALegalReference" minOccurs="0"/>
                <xsd:element ref="ns2:FSMAResponsible" minOccurs="0"/>
                <xsd:element ref="ns3:FSMACaseId"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From1" minOccurs="0"/>
                <xsd:element ref="ns3:To" minOccurs="0"/>
                <xsd:element ref="ns3:Cc" minOccurs="0"/>
                <xsd:element ref="ns3:Sent" minOccurs="0"/>
                <xsd:element ref="ns3:Received" minOccurs="0"/>
                <xsd:element ref="ns3:i700e0deb15447d88dbefac8c49b4e73" minOccurs="0"/>
                <xsd:element ref="ns3:FSMARelevantDossiers"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4:CEYDescription" minOccurs="0"/>
                <xsd:element ref="ns3:d4d7685898f64ebf825d396ede792b3d" minOccurs="0"/>
                <xsd:element ref="ns3:oa3056e339a14be691a9be424721cd8a" minOccurs="0"/>
                <xsd:element ref="ns3:e7d95798c7cc49018eddb0e9d5f10243" minOccurs="0"/>
                <xsd:element ref="ns3:n93a05827a234bd5bd56144e4ae5a4c5" minOccurs="0"/>
                <xsd:element ref="ns3:jee5cc54f26a4aa9aa5d3d5d5c0abf22" minOccurs="0"/>
                <xsd:element ref="ns3:iea30b3d116c4abd829bda67fead4fa8" minOccurs="0"/>
                <xsd:element ref="ns3:ec7fab8fca8244d5a19ef6bc9bde0f91" minOccurs="0"/>
                <xsd:element ref="ns3:ef14e33ca5c3481cbfad1e6ae8a7124e" minOccurs="0"/>
                <xsd:element ref="ns3:l9eb92ffb50b4212a5ada7cfca32df2c" minOccurs="0"/>
                <xsd:element ref="ns3:j5eb15239c91414b9d7c96d17acd9fca" minOccurs="0"/>
                <xsd:element ref="ns3:a3f93dd4d3154164b9bcbbec3d11e6cd" minOccurs="0"/>
                <xsd:element ref="ns3:o2e868a4180d47dab69612c4e2e5756d" minOccurs="0"/>
                <xsd:element ref="ns3:i092aad688554532b3d2e6ad2cec5c6a" minOccurs="0"/>
                <xsd:element ref="ns2:TaxCatchAllLabel" minOccurs="0"/>
                <xsd:element ref="ns3:j3ffc30cbd4849e9aaf5b9bacc5f6fb3" minOccurs="0"/>
                <xsd:element ref="ns3:FF25D9749B484798B23C47357FB06FA4" minOccurs="0"/>
                <xsd:element ref="ns3:a16789d6c69b4083a6824cb266570b0c" minOccurs="0"/>
                <xsd:element ref="ns2:TaxCatchAll" minOccurs="0"/>
                <xsd:element ref="ns2:_dlc_DocIdUrl" minOccurs="0"/>
                <xsd:element ref="ns2:_dlc_DocId" minOccurs="0"/>
                <xsd:element ref="ns2:_dlc_DocIdPersistId" minOccurs="0"/>
                <xsd:element ref="ns3:FSMADocumentDate"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20ad4-1402-48cb-a040-33a1d26c1ed7"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2"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Label" ma:index="61" nillable="true" ma:displayName="Taxonomy Catch All Column1" ma:hidden="true" ma:list="{5add0d27-3390-480e-8a40-ebdced102d05}" ma:internalName="TaxCatchAllLabel" ma:readOnly="false" ma:showField="CatchAllDataLabel" ma:web="95f20ad4-1402-48cb-a040-33a1d26c1ed7">
      <xsd:complexType>
        <xsd:complexContent>
          <xsd:extension base="dms:MultiChoiceLookup">
            <xsd:sequence>
              <xsd:element name="Value" type="dms:Lookup" maxOccurs="unbounded" minOccurs="0" nillable="true"/>
            </xsd:sequence>
          </xsd:extension>
        </xsd:complexContent>
      </xsd:complexType>
    </xsd:element>
    <xsd:element name="TaxCatchAll" ma:index="65" nillable="true" ma:displayName="Taxonomy Catch All Column" ma:hidden="true" ma:list="{5add0d27-3390-480e-8a40-ebdced102d05}" ma:internalName="TaxCatchAll" ma:readOnly="false" ma:showField="CatchAllData" ma:web="95f20ad4-1402-48cb-a040-33a1d26c1ed7">
      <xsd:complexType>
        <xsd:complexContent>
          <xsd:extension base="dms:MultiChoiceLookup">
            <xsd:sequence>
              <xsd:element name="Value" type="dms:Lookup" maxOccurs="unbounded" minOccurs="0" nillable="true"/>
            </xsd:sequence>
          </xsd:extension>
        </xsd:complexContent>
      </xsd:complexType>
    </xsd:element>
    <xsd:element name="_dlc_DocIdUrl" ma:index="6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68" nillable="true" ma:displayName="Document ID Value" ma:description="The value of the document ID assigned to this item." ma:internalName="_dlc_DocId" ma:readOnly="true">
      <xsd:simpleType>
        <xsd:restriction base="dms:Text"/>
      </xsd:simpleType>
    </xsd:element>
    <xsd:element name="_dlc_DocIdPersistId" ma:index="6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SMALegalReference" ma:index="7" nillable="true" ma:displayName="Legal Reference" ma:internalName="FSMALegalReference" ma:readOnly="false">
      <xsd:simpleType>
        <xsd:restriction base="dms:Text">
          <xsd:maxLength value="255"/>
        </xsd:restriction>
      </xsd:simpleType>
    </xsd:element>
    <xsd:element name="FSMACaseId" ma:index="18" nillable="true" ma:displayName="Case ID" ma:internalName="FSMACaseId" ma:readOnly="false">
      <xsd:simpleType>
        <xsd:restriction base="dms:Text">
          <xsd:maxLength value="255"/>
        </xsd:restriction>
      </xsd:simpleType>
    </xsd:element>
    <xsd:element name="FSMASummary" ma:index="19" nillable="true" ma:displayName="Summary" ma:internalName="FSMASummary" ma:readOnly="false">
      <xsd:simpleType>
        <xsd:restriction base="dms:Note">
          <xsd:maxLength value="255"/>
        </xsd:restriction>
      </xsd:simpleType>
    </xsd:element>
    <xsd:element name="FSMAEnclosedDocuments" ma:index="20" nillable="true" ma:displayName="Enclosed documents" ma:internalName="FSMAEnclosedDocuments" ma:readOnly="false">
      <xsd:simpleType>
        <xsd:restriction base="dms:Note">
          <xsd:maxLength value="255"/>
        </xsd:restriction>
      </xsd:simpleType>
    </xsd:element>
    <xsd:element name="FSMASentOut" ma:index="21" nillable="true" ma:displayName="Sent Out" ma:default="0" ma:internalName="FSMASentOut" ma:readOnly="false">
      <xsd:simpleType>
        <xsd:restriction base="dms:Boolean"/>
      </xsd:simpleType>
    </xsd:element>
    <xsd:element name="FSMAPersonalData" ma:index="26" nillable="true" ma:displayName="Personal Data" ma:default="0" ma:internalName="FSMAPersonalData" ma:readOnly="false">
      <xsd:simpleType>
        <xsd:restriction base="dms:Boolean"/>
      </xsd:simpleType>
    </xsd:element>
    <xsd:element name="FSMARetention" ma:index="27" nillable="true" ma:displayName="Retention Period" ma:internalName="FSMARetention" ma:readOnly="false">
      <xsd:simpleType>
        <xsd:restriction base="dms:Number"/>
      </xsd:simpleType>
    </xsd:element>
    <xsd:element name="FSMALegalHold" ma:index="28" nillable="true" ma:displayName="Legal Hold" ma:default="0" ma:internalName="FSMALegalHold" ma:readOnly="false">
      <xsd:simpleType>
        <xsd:restriction base="dms:Boolean"/>
      </xsd:simpleType>
    </xsd:element>
    <xsd:element name="From1" ma:index="29" nillable="true" ma:displayName="From" ma:internalName="From1" ma:readOnly="false">
      <xsd:simpleType>
        <xsd:restriction base="dms:Text">
          <xsd:maxLength value="255"/>
        </xsd:restriction>
      </xsd:simpleType>
    </xsd:element>
    <xsd:element name="To" ma:index="30" nillable="true" ma:displayName="To" ma:internalName="To" ma:readOnly="false">
      <xsd:simpleType>
        <xsd:restriction base="dms:Note">
          <xsd:maxLength value="255"/>
        </xsd:restriction>
      </xsd:simpleType>
    </xsd:element>
    <xsd:element name="Cc" ma:index="31" nillable="true" ma:displayName="Cc" ma:internalName="Cc" ma:readOnly="false">
      <xsd:simpleType>
        <xsd:restriction base="dms:Note">
          <xsd:maxLength value="255"/>
        </xsd:restriction>
      </xsd:simpleType>
    </xsd:element>
    <xsd:element name="Sent" ma:index="32" nillable="true" ma:displayName="Sent" ma:format="DateTime" ma:internalName="Sent" ma:readOnly="false">
      <xsd:simpleType>
        <xsd:restriction base="dms:DateTime"/>
      </xsd:simpleType>
    </xsd:element>
    <xsd:element name="Received" ma:index="33" nillable="true" ma:displayName="Received" ma:format="DateTime" ma:internalName="Received" ma:readOnly="false">
      <xsd:simpleType>
        <xsd:restriction base="dms:DateTime"/>
      </xsd:simpleType>
    </xsd:element>
    <xsd:element name="i700e0deb15447d88dbefac8c49b4e73" ma:index="34"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FSMARelevantDossiers" ma:index="36" nillable="true" ma:displayName="Relevant Dossiers" ma:hidden="true" ma:internalName="FSMARelevantDossiers" ma:readOnly="false">
      <xsd:simpleType>
        <xsd:restriction base="dms:Note"/>
      </xsd:simpleType>
    </xsd:element>
    <xsd:element name="FSMAForDossier" ma:index="37" nillable="true" ma:displayName="For Dossier" ma:default="0" ma:internalName="FSMAForDossier" ma:readOnly="false">
      <xsd:simpleType>
        <xsd:restriction base="dms:Boolean"/>
      </xsd:simpleType>
    </xsd:element>
    <xsd:element name="FSMADossier" ma:index="41" nillable="true" ma:displayName="Dossier" ma:hidden="true" ma:internalName="FSMADossier" ma:readOnly="false">
      <xsd:simpleType>
        <xsd:restriction base="dms:Text">
          <xsd:maxLength value="255"/>
        </xsd:restriction>
      </xsd:simpleType>
    </xsd:element>
    <xsd:element name="FSMACDCDocumentType" ma:index="43" nillable="true" ma:displayName="CDC Document Type" ma:hidden="true" ma:internalName="FSMACDCDocumentType" ma:readOnly="false">
      <xsd:simpleType>
        <xsd:restriction base="dms:Text">
          <xsd:maxLength value="255"/>
        </xsd:restriction>
      </xsd:simpleType>
    </xsd:element>
    <xsd:element name="FSMASignatureRequired" ma:index="44" nillable="true" ma:displayName="Signature Required" ma:default="0" ma:hidden="true" ma:internalName="FSMASignatureRequired" ma:readOnly="false">
      <xsd:simpleType>
        <xsd:restriction base="dms:Boolean"/>
      </xsd:simpleType>
    </xsd:element>
    <xsd:element name="FSMACDCNumbering" ma:index="45" nillable="true" ma:displayName="Numbering" ma:hidden="true" ma:internalName="FSMACDCNumbering" ma:readOnly="false">
      <xsd:simpleType>
        <xsd:restriction base="dms:Number"/>
      </xsd:simpleType>
    </xsd:element>
    <xsd:element name="FSMACDCMemberRanking" ma:index="46" nillable="true" ma:displayName="CDC Member Ranking" ma:hidden="true" ma:internalName="FSMACDCMemberRanking" ma:readOnly="false">
      <xsd:simpleType>
        <xsd:restriction base="dms:Number"/>
      </xsd:simpleType>
    </xsd:element>
    <xsd:element name="d4d7685898f64ebf825d396ede792b3d" ma:index="48"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9"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50"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51"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52"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3"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4"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ef14e33ca5c3481cbfad1e6ae8a7124e" ma:index="55"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l9eb92ffb50b4212a5ada7cfca32df2c" ma:index="56"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57"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a3f93dd4d3154164b9bcbbec3d11e6cd" ma:index="58"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o2e868a4180d47dab69612c4e2e5756d" ma:index="59"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i092aad688554532b3d2e6ad2cec5c6a" ma:index="60"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j3ffc30cbd4849e9aaf5b9bacc5f6fb3" ma:index="62"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FF25D9749B484798B23C47357FB06FA4" ma:index="63"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16789d6c69b4083a6824cb266570b0c" ma:index="64" nillable="true" ma:taxonomy="true" ma:internalName="a16789d6c69b4083a6824cb266570b0c" ma:taxonomyFieldName="FSMADocumentCategory" ma:displayName="Document Category" ma:readOnly="false" ma:default="" ma:fieldId="{a16789d6-c69b-4083-a682-4cb266570b0c}" ma:sspId="b0551cb1-40c1-4e7e-9007-6c3b130daecf" ma:termSetId="df829455-3933-4303-ba1b-840d49854de2" ma:anchorId="00000000-0000-0000-0000-000000000000" ma:open="false" ma:isKeyword="false">
      <xsd:complexType>
        <xsd:sequence>
          <xsd:element ref="pc:Terms" minOccurs="0" maxOccurs="1"/>
        </xsd:sequence>
      </xsd:complexType>
    </xsd:element>
    <xsd:element name="FSMADocumentDate" ma:index="71"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4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995338-7266-4392-b649-be047eaee34a" elementFormDefault="qualified">
    <xsd:import namespace="http://schemas.microsoft.com/office/2006/documentManagement/types"/>
    <xsd:import namespace="http://schemas.microsoft.com/office/infopath/2007/PartnerControls"/>
    <xsd:element name="FSMARelevantDossierLookup" ma:index="72" nillable="true" ma:displayName="Case Relevant Dossiers" ma:list="80d8a7aa-6fa1-4d69-80a7-c9e08487902b" ma:internalName="FSMARelevantDossierLookup" ma:showField="Title" ma:web="7b995338-7266-4392-b649-be047eaee3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4DF2D-5D01-4918-A9B4-09304A873E38}">
  <ds:schemaRefs>
    <ds:schemaRef ds:uri="http://schemas.microsoft.com/sharepoint/events"/>
  </ds:schemaRefs>
</ds:datastoreItem>
</file>

<file path=customXml/itemProps2.xml><?xml version="1.0" encoding="utf-8"?>
<ds:datastoreItem xmlns:ds="http://schemas.openxmlformats.org/officeDocument/2006/customXml" ds:itemID="{B8BD28DC-20D3-4FAE-A0A1-FF08B4627EFB}">
  <ds:schemaRefs>
    <ds:schemaRef ds:uri="http://schemas.microsoft.com/sharepoint/v3/contenttype/forms"/>
  </ds:schemaRefs>
</ds:datastoreItem>
</file>

<file path=customXml/itemProps3.xml><?xml version="1.0" encoding="utf-8"?>
<ds:datastoreItem xmlns:ds="http://schemas.openxmlformats.org/officeDocument/2006/customXml" ds:itemID="{EFACE36D-A023-4B0D-AB61-F11062653D60}">
  <ds:schemaRefs>
    <ds:schemaRef ds:uri="95f20ad4-1402-48cb-a040-33a1d26c1ed7"/>
    <ds:schemaRef ds:uri="http://purl.org/dc/terms/"/>
    <ds:schemaRef ds:uri="http://schemas.microsoft.com/office/2006/documentManagement/types"/>
    <ds:schemaRef ds:uri="http://purl.org/dc/dcmitype/"/>
    <ds:schemaRef ds:uri="http://schemas.openxmlformats.org/package/2006/metadata/core-properties"/>
    <ds:schemaRef ds:uri="0c2b4d14-0ef6-41a4-8ebc-a5694610298b"/>
    <ds:schemaRef ds:uri="http://purl.org/dc/elements/1.1/"/>
    <ds:schemaRef ds:uri="http://schemas.microsoft.com/office/2006/metadata/properties"/>
    <ds:schemaRef ds:uri="184c9235-7e05-405f-9b8a-467b46c0a0d9"/>
    <ds:schemaRef ds:uri="http://schemas.microsoft.com/office/infopath/2007/PartnerControls"/>
    <ds:schemaRef ds:uri="7b995338-7266-4392-b649-be047eaee34a"/>
    <ds:schemaRef ds:uri="http://www.w3.org/XML/1998/namespace"/>
  </ds:schemaRefs>
</ds:datastoreItem>
</file>

<file path=customXml/itemProps4.xml><?xml version="1.0" encoding="utf-8"?>
<ds:datastoreItem xmlns:ds="http://schemas.openxmlformats.org/officeDocument/2006/customXml" ds:itemID="{CC4D2BE1-8D33-4039-8835-D17507698B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20ad4-1402-48cb-a040-33a1d26c1ed7"/>
    <ds:schemaRef ds:uri="0c2b4d14-0ef6-41a4-8ebc-a5694610298b"/>
    <ds:schemaRef ds:uri="184c9235-7e05-405f-9b8a-467b46c0a0d9"/>
    <ds:schemaRef ds:uri="7b995338-7266-4392-b649-be047eaee3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A07B507-6FD8-4E1B-9E5B-6C8E58DF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Circulaire_annex_EN.dotx</Template>
  <TotalTime>69</TotalTime>
  <Pages>17</Pages>
  <Words>6663</Words>
  <Characters>36647</Characters>
  <Application>Microsoft Office Word</Application>
  <DocSecurity>0</DocSecurity>
  <Lines>305</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FSMA - Alternative Investment Funds Notification of marketing of EEA AIFs managed by Belgian AIFMs</vt:lpstr>
      <vt:lpstr/>
    </vt:vector>
  </TitlesOfParts>
  <Company/>
  <LinksUpToDate>false</LinksUpToDate>
  <CharactersWithSpaces>43224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Alternative Investment Funds Notification of marketing of EEA AIFs managed by Belgian AIFMs</dc:title>
  <dc:subject>FSMA_2017_05-01</dc:subject>
  <dc:creator>FSMA</dc:creator>
  <cp:keywords>This Communication is addressed to Belgian alternative investment fund managers who intend to market, to professional investors, units or shares of European Economic Area AIFs (‘EEA’) in other EEA Member States.</cp:keywords>
  <dc:description>24/02/2017</dc:description>
  <cp:lastModifiedBy>Binon, Heidi</cp:lastModifiedBy>
  <cp:revision>7</cp:revision>
  <cp:lastPrinted>2017-02-24T14:29:00Z</cp:lastPrinted>
  <dcterms:created xsi:type="dcterms:W3CDTF">2024-07-17T07:14:00Z</dcterms:created>
  <dcterms:modified xsi:type="dcterms:W3CDTF">2024-09-13T09:24:00Z</dcterms:modified>
  <cp:category>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0x01010038AF301C369E4E51943E35DDEAC9FE1C01020058D04D07B14B4A86A1FC3077F5A3A42A0040BCDDE46F4F394A8F48B2465257A9D7</vt:lpwstr>
  </property>
  <property fmtid="{D5CDD505-2E9C-101B-9397-08002B2CF9AE}" pid="3" name="Cir. KEY-WORDS">
    <vt:lpwstr/>
  </property>
  <property fmtid="{D5CDD505-2E9C-101B-9397-08002B2CF9AE}" pid="4" name="Cir. CATEGORY0">
    <vt:lpwstr>Communication</vt:lpwstr>
  </property>
  <property fmtid="{D5CDD505-2E9C-101B-9397-08002B2CF9AE}" pid="5" name="Supervision Type FR">
    <vt:lpwstr/>
  </property>
  <property fmtid="{D5CDD505-2E9C-101B-9397-08002B2CF9AE}" pid="6" name="Circ. Category EN">
    <vt:lpwstr/>
  </property>
  <property fmtid="{D5CDD505-2E9C-101B-9397-08002B2CF9AE}" pid="7" name="Year">
    <vt:lpwstr>2017</vt:lpwstr>
  </property>
  <property fmtid="{D5CDD505-2E9C-101B-9397-08002B2CF9AE}" pid="8" name="_docset_NoMedatataSyncRequired">
    <vt:lpwstr>False</vt:lpwstr>
  </property>
  <property fmtid="{D5CDD505-2E9C-101B-9397-08002B2CF9AE}" pid="9" name="_AdHocReviewCycleID">
    <vt:i4>-827658221</vt:i4>
  </property>
  <property fmtid="{D5CDD505-2E9C-101B-9397-08002B2CF9AE}" pid="10" name="_NewReviewCycle">
    <vt:lpwstr/>
  </property>
  <property fmtid="{D5CDD505-2E9C-101B-9397-08002B2CF9AE}" pid="11" name="_EmailSubject">
    <vt:lpwstr>Update bijlage bij mededeling FSMA_2017_05</vt:lpwstr>
  </property>
  <property fmtid="{D5CDD505-2E9C-101B-9397-08002B2CF9AE}" pid="12" name="_AuthorEmail">
    <vt:lpwstr>Glenn.VanNoten@fsma.be</vt:lpwstr>
  </property>
  <property fmtid="{D5CDD505-2E9C-101B-9397-08002B2CF9AE}" pid="13" name="_AuthorEmailDisplayName">
    <vt:lpwstr>Van Noten, Glenn</vt:lpwstr>
  </property>
  <property fmtid="{D5CDD505-2E9C-101B-9397-08002B2CF9AE}" pid="14" name="_PreviousAdHocReviewCycleID">
    <vt:i4>-728204260</vt:i4>
  </property>
  <property fmtid="{D5CDD505-2E9C-101B-9397-08002B2CF9AE}" pid="15" name="FSMADocStatus">
    <vt:lpwstr>12;#Active|3cd4d267-7354-4b79-bfd9-170c3b790a12</vt:lpwstr>
  </property>
  <property fmtid="{D5CDD505-2E9C-101B-9397-08002B2CF9AE}" pid="16" name="iea30b3d116c4abd829bda67fead4fa8">
    <vt:lpwstr>Active|3cd4d267-7354-4b79-bfd9-170c3b790a12</vt:lpwstr>
  </property>
  <property fmtid="{D5CDD505-2E9C-101B-9397-08002B2CF9AE}" pid="17" name="_dlc_DocIdItemGuid">
    <vt:lpwstr>f8dec942-cb6c-4a73-9db7-f51e0d559f0c</vt:lpwstr>
  </property>
  <property fmtid="{D5CDD505-2E9C-101B-9397-08002B2CF9AE}" pid="18" name="Supervision Type NL">
    <vt:lpwstr/>
  </property>
  <property fmtid="{D5CDD505-2E9C-101B-9397-08002B2CF9AE}" pid="19" name="List Type">
    <vt:lpwstr>82;#AMC Essentials|4e356129-413f-4cd5-8eb1-93a5c7f124de</vt:lpwstr>
  </property>
  <property fmtid="{D5CDD505-2E9C-101B-9397-08002B2CF9AE}" pid="20" name="FSMADataClassification">
    <vt:lpwstr>3;#02. Internal|b7a4dde1-915e-42b3-b701-f620e72b27e4</vt:lpwstr>
  </property>
  <property fmtid="{D5CDD505-2E9C-101B-9397-08002B2CF9AE}" pid="21" name="FSMATopic">
    <vt:lpwstr/>
  </property>
  <property fmtid="{D5CDD505-2E9C-101B-9397-08002B2CF9AE}" pid="22" name="FSMAKeywords">
    <vt:lpwstr/>
  </property>
  <property fmtid="{D5CDD505-2E9C-101B-9397-08002B2CF9AE}" pid="23" name="FSMADocumentType">
    <vt:lpwstr>15;#Management Committee Annex|77d3649c-edf1-4b93-b689-ff08abe5acae</vt:lpwstr>
  </property>
  <property fmtid="{D5CDD505-2E9C-101B-9397-08002B2CF9AE}" pid="24" name="FSMAReferenceApplication">
    <vt:lpwstr/>
  </property>
  <property fmtid="{D5CDD505-2E9C-101B-9397-08002B2CF9AE}" pid="25" name="FSMAImportance">
    <vt:lpwstr/>
  </property>
  <property fmtid="{D5CDD505-2E9C-101B-9397-08002B2CF9AE}" pid="26" name="FSMASource">
    <vt:lpwstr/>
  </property>
  <property fmtid="{D5CDD505-2E9C-101B-9397-08002B2CF9AE}" pid="27" name="FSMARelatedProducts">
    <vt:lpwstr/>
  </property>
  <property fmtid="{D5CDD505-2E9C-101B-9397-08002B2CF9AE}" pid="28" name="FSMALanguage">
    <vt:lpwstr/>
  </property>
  <property fmtid="{D5CDD505-2E9C-101B-9397-08002B2CF9AE}" pid="29" name="FF25D9749B484798B23C47357FB06FA4">
    <vt:lpwstr/>
  </property>
  <property fmtid="{D5CDD505-2E9C-101B-9397-08002B2CF9AE}" pid="30" name="a3f93dd4d3154164b9bcbbec3d11e6cd">
    <vt:lpwstr/>
  </property>
  <property fmtid="{D5CDD505-2E9C-101B-9397-08002B2CF9AE}" pid="31" name="FSMAMainOUName">
    <vt:lpwstr/>
  </property>
  <property fmtid="{D5CDD505-2E9C-101B-9397-08002B2CF9AE}" pid="32" name="FSMAFollowUpActions">
    <vt:lpwstr/>
  </property>
  <property fmtid="{D5CDD505-2E9C-101B-9397-08002B2CF9AE}" pid="33" name="FSMAMainOU">
    <vt:lpwstr/>
  </property>
  <property fmtid="{D5CDD505-2E9C-101B-9397-08002B2CF9AE}" pid="34" name="FSMAMainOA">
    <vt:lpwstr>5;#AMC|5f1057d5-d673-4c94-aa97-bea8390c4da2</vt:lpwstr>
  </property>
  <property fmtid="{D5CDD505-2E9C-101B-9397-08002B2CF9AE}" pid="35" name="o2e868a4180d47dab69612c4e2e5756d">
    <vt:lpwstr/>
  </property>
  <property fmtid="{D5CDD505-2E9C-101B-9397-08002B2CF9AE}" pid="36" name="FSMASection">
    <vt:lpwstr>22;#A2|1a8dbfff-fdb1-474b-aa46-39bbac5df04c</vt:lpwstr>
  </property>
  <property fmtid="{D5CDD505-2E9C-101B-9397-08002B2CF9AE}" pid="37" name="FSMAMainOAName">
    <vt:lpwstr/>
  </property>
  <property fmtid="{D5CDD505-2E9C-101B-9397-08002B2CF9AE}" pid="38" name="ef14e33ca5c3481cbfad1e6ae8a7124e">
    <vt:lpwstr/>
  </property>
  <property fmtid="{D5CDD505-2E9C-101B-9397-08002B2CF9AE}" pid="39" name="j3ffc30cbd4849e9aaf5b9bacc5f6fb3">
    <vt:lpwstr/>
  </property>
  <property fmtid="{D5CDD505-2E9C-101B-9397-08002B2CF9AE}" pid="40" name="i092aad688554532b3d2e6ad2cec5c6a">
    <vt:lpwstr/>
  </property>
  <property fmtid="{D5CDD505-2E9C-101B-9397-08002B2CF9AE}" pid="41" name="FSMADocumentCategory">
    <vt:lpwstr/>
  </property>
  <property fmtid="{D5CDD505-2E9C-101B-9397-08002B2CF9AE}" pid="42" name="_ReviewingToolsShownOnce">
    <vt:lpwstr/>
  </property>
</Properties>
</file>