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EB" w:rsidRPr="00740348" w:rsidRDefault="007E20EB" w:rsidP="007E20EB">
      <w:pPr>
        <w:tabs>
          <w:tab w:val="left" w:pos="1560"/>
        </w:tabs>
        <w:jc w:val="both"/>
        <w:rPr>
          <w:rFonts w:cstheme="minorHAnsi"/>
          <w:b/>
          <w:lang w:val="fr-FR"/>
        </w:rPr>
      </w:pPr>
      <w:bookmarkStart w:id="0" w:name="_GoBack"/>
      <w:bookmarkEnd w:id="0"/>
      <w:r>
        <w:rPr>
          <w:rFonts w:cstheme="minorHAnsi"/>
          <w:b/>
          <w:lang w:val="fr-FR"/>
        </w:rPr>
        <w:t>E</w:t>
      </w:r>
      <w:r w:rsidRPr="003E19AF">
        <w:rPr>
          <w:rFonts w:cstheme="minorHAnsi"/>
          <w:b/>
          <w:lang w:val="fr-FR"/>
        </w:rPr>
        <w:t>xemple attestation de participation recyclage (situation de cumul/split)</w:t>
      </w:r>
    </w:p>
    <w:p w:rsidR="007E20EB" w:rsidRPr="00FE2120" w:rsidRDefault="007E20EB" w:rsidP="007E20EB">
      <w:r w:rsidRPr="00FE2120">
        <w:t xml:space="preserve">&lt; </w:t>
      </w:r>
      <w:r w:rsidRPr="00FE2120">
        <w:rPr>
          <w:i/>
        </w:rPr>
        <w:t>Logo de l’organisateur de formations</w:t>
      </w:r>
      <w:r w:rsidRPr="00FE2120">
        <w:t xml:space="preserve"> &gt;</w:t>
      </w:r>
    </w:p>
    <w:p w:rsidR="007E20EB" w:rsidRPr="00FE2120" w:rsidRDefault="007E20EB" w:rsidP="007E20EB">
      <w:pPr>
        <w:jc w:val="both"/>
      </w:pPr>
      <w:r w:rsidRPr="00FE2120">
        <w:t xml:space="preserve">&lt; </w:t>
      </w:r>
      <w:r w:rsidRPr="00FE2120">
        <w:rPr>
          <w:i/>
        </w:rPr>
        <w:t xml:space="preserve">Identité de l’organisateur de formations </w:t>
      </w:r>
      <w:r w:rsidRPr="00FE2120">
        <w:t xml:space="preserve">&gt; &lt; </w:t>
      </w:r>
      <w:r w:rsidRPr="00FE2120">
        <w:rPr>
          <w:i/>
        </w:rPr>
        <w:t>numéro d’entreprise de l’organisateur de formations</w:t>
      </w:r>
      <w:r w:rsidRPr="00FE2120">
        <w:t xml:space="preserve"> &gt; </w:t>
      </w:r>
      <w:r>
        <w:t>déclare que</w:t>
      </w:r>
      <w:r w:rsidRPr="00FE2120">
        <w:t xml:space="preserve"> </w:t>
      </w:r>
    </w:p>
    <w:p w:rsidR="007E20EB" w:rsidRPr="00FE2120" w:rsidRDefault="007E20EB" w:rsidP="007E20EB">
      <w:pPr>
        <w:jc w:val="both"/>
      </w:pPr>
      <w:r w:rsidRPr="00FE2120">
        <w:t xml:space="preserve">&lt; </w:t>
      </w:r>
      <w:proofErr w:type="gramStart"/>
      <w:r w:rsidRPr="00FE2120">
        <w:rPr>
          <w:i/>
        </w:rPr>
        <w:t>nom</w:t>
      </w:r>
      <w:proofErr w:type="gramEnd"/>
      <w:r w:rsidRPr="00FE2120">
        <w:rPr>
          <w:i/>
        </w:rPr>
        <w:t xml:space="preserve"> </w:t>
      </w:r>
      <w:r>
        <w:rPr>
          <w:i/>
        </w:rPr>
        <w:t>du participant</w:t>
      </w:r>
      <w:r w:rsidRPr="00FE2120">
        <w:t xml:space="preserve"> &gt;  </w:t>
      </w:r>
      <w:r w:rsidRPr="007E20EB">
        <w:rPr>
          <w:i/>
          <w:color w:val="7030A0"/>
        </w:rPr>
        <w:t>optionnel</w:t>
      </w:r>
      <w:r w:rsidRPr="00FE2120">
        <w:rPr>
          <w:i/>
          <w:color w:val="7030A0"/>
        </w:rPr>
        <w:t xml:space="preserve"> </w:t>
      </w:r>
      <w:r w:rsidRPr="00FE2120">
        <w:rPr>
          <w:color w:val="7030A0"/>
        </w:rPr>
        <w:t xml:space="preserve">&lt; </w:t>
      </w:r>
      <w:r w:rsidRPr="00FE2120">
        <w:rPr>
          <w:i/>
          <w:color w:val="7030A0"/>
        </w:rPr>
        <w:t>date de naissance</w:t>
      </w:r>
      <w:r w:rsidRPr="00FE2120">
        <w:rPr>
          <w:color w:val="7030A0"/>
        </w:rPr>
        <w:t xml:space="preserve"> &gt;</w:t>
      </w:r>
    </w:p>
    <w:p w:rsidR="007E20EB" w:rsidRPr="00FE2120" w:rsidRDefault="007E20EB" w:rsidP="007E20EB">
      <w:pPr>
        <w:jc w:val="both"/>
      </w:pPr>
      <w:r w:rsidRPr="00FE2120">
        <w:t xml:space="preserve">a participé à la formation de recyclage que &lt; </w:t>
      </w:r>
      <w:r w:rsidRPr="00FE2120">
        <w:rPr>
          <w:i/>
        </w:rPr>
        <w:t xml:space="preserve">Identité de l’organisateur de formations </w:t>
      </w:r>
      <w:r w:rsidRPr="00FE2120">
        <w:t xml:space="preserve">&gt; </w:t>
      </w:r>
      <w:r>
        <w:t>a organisé</w:t>
      </w:r>
      <w:r w:rsidRPr="00FE2120">
        <w:t xml:space="preserve"> le </w:t>
      </w:r>
      <w:r>
        <w:br/>
      </w:r>
      <w:r w:rsidRPr="00FE2120">
        <w:t xml:space="preserve">&lt; </w:t>
      </w:r>
      <w:r w:rsidRPr="00FE2120">
        <w:rPr>
          <w:i/>
        </w:rPr>
        <w:t>date de la formation</w:t>
      </w:r>
      <w:r w:rsidRPr="00FE2120">
        <w:t xml:space="preserve"> &gt;</w:t>
      </w:r>
      <w:r>
        <w:t xml:space="preserve">, ayant pour titre : </w:t>
      </w:r>
      <w:r w:rsidRPr="00FE2120">
        <w:t xml:space="preserve">&lt; </w:t>
      </w:r>
      <w:r>
        <w:rPr>
          <w:i/>
        </w:rPr>
        <w:t>titre de la formation</w:t>
      </w:r>
      <w:r w:rsidRPr="00FE2120">
        <w:rPr>
          <w:i/>
        </w:rPr>
        <w:t xml:space="preserve"> </w:t>
      </w:r>
      <w:r w:rsidRPr="00FE2120">
        <w:t>&gt;</w:t>
      </w:r>
    </w:p>
    <w:p w:rsidR="007E20EB" w:rsidRPr="00FE2120" w:rsidRDefault="007E20EB" w:rsidP="007E20EB">
      <w:pPr>
        <w:jc w:val="both"/>
      </w:pPr>
      <w:r w:rsidRPr="00FE2120">
        <w:t xml:space="preserve">La formation avait une durée de &lt; </w:t>
      </w:r>
      <w:r w:rsidRPr="00FE2120">
        <w:rPr>
          <w:i/>
        </w:rPr>
        <w:t>nombre d’heures de la formation</w:t>
      </w:r>
      <w:r w:rsidRPr="00FE2120">
        <w:t xml:space="preserve"> &gt; </w:t>
      </w:r>
      <w:r>
        <w:t>heures et</w:t>
      </w:r>
      <w:r w:rsidRPr="00FE2120">
        <w:t xml:space="preserve"> </w:t>
      </w:r>
      <w:r>
        <w:t xml:space="preserve">entre en considération pour </w:t>
      </w:r>
      <w:r w:rsidRPr="00FE212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76"/>
        <w:gridCol w:w="2077"/>
        <w:gridCol w:w="2077"/>
      </w:tblGrid>
      <w:tr w:rsidR="007E20EB" w:rsidTr="006470FF">
        <w:tc>
          <w:tcPr>
            <w:tcW w:w="2830" w:type="dxa"/>
            <w:shd w:val="clear" w:color="auto" w:fill="000000" w:themeFill="text1"/>
          </w:tcPr>
          <w:p w:rsidR="007E20EB" w:rsidRPr="00A10196" w:rsidRDefault="007E20EB" w:rsidP="006470FF">
            <w:pPr>
              <w:jc w:val="center"/>
              <w:rPr>
                <w:iCs/>
                <w:lang w:val="nl-BE"/>
              </w:rPr>
            </w:pPr>
            <w:proofErr w:type="spellStart"/>
            <w:r>
              <w:rPr>
                <w:iCs/>
                <w:lang w:val="nl-BE"/>
              </w:rPr>
              <w:t>Domaine</w:t>
            </w:r>
            <w:proofErr w:type="spellEnd"/>
            <w:r>
              <w:rPr>
                <w:iCs/>
                <w:lang w:val="nl-BE"/>
              </w:rPr>
              <w:t xml:space="preserve"> de recyclage</w:t>
            </w:r>
          </w:p>
        </w:tc>
        <w:tc>
          <w:tcPr>
            <w:tcW w:w="2076" w:type="dxa"/>
            <w:shd w:val="clear" w:color="auto" w:fill="000000" w:themeFill="text1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Général</w:t>
            </w:r>
            <w:r w:rsidRPr="00393763">
              <w:rPr>
                <w:iCs/>
              </w:rPr>
              <w:t xml:space="preserve"> (*)</w:t>
            </w:r>
          </w:p>
        </w:tc>
        <w:tc>
          <w:tcPr>
            <w:tcW w:w="2077" w:type="dxa"/>
            <w:shd w:val="clear" w:color="auto" w:fill="000000" w:themeFill="text1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S</w:t>
            </w:r>
            <w:r>
              <w:rPr>
                <w:iCs/>
              </w:rPr>
              <w:t xml:space="preserve">pécifique au secteur </w:t>
            </w:r>
          </w:p>
        </w:tc>
        <w:tc>
          <w:tcPr>
            <w:tcW w:w="2077" w:type="dxa"/>
            <w:shd w:val="clear" w:color="auto" w:fill="000000" w:themeFill="text1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Total par domaine de recyclage</w:t>
            </w:r>
          </w:p>
        </w:tc>
      </w:tr>
      <w:tr w:rsidR="007E20EB" w:rsidTr="006470FF">
        <w:tc>
          <w:tcPr>
            <w:tcW w:w="2830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Assurances</w:t>
            </w:r>
          </w:p>
        </w:tc>
        <w:tc>
          <w:tcPr>
            <w:tcW w:w="2076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r>
              <w:rPr>
                <w:iCs/>
              </w:rPr>
              <w:t>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r>
              <w:rPr>
                <w:iCs/>
              </w:rPr>
              <w:t>heures</w:t>
            </w:r>
          </w:p>
        </w:tc>
      </w:tr>
      <w:tr w:rsidR="007E20EB" w:rsidTr="006470FF">
        <w:tc>
          <w:tcPr>
            <w:tcW w:w="2830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Services bancaires et d’investissement</w:t>
            </w:r>
          </w:p>
        </w:tc>
        <w:tc>
          <w:tcPr>
            <w:tcW w:w="2076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 w:rsidRPr="00393763">
              <w:rPr>
                <w:iCs/>
              </w:rPr>
              <w:t>…</w:t>
            </w:r>
            <w:r>
              <w:rPr>
                <w:iCs/>
              </w:rPr>
              <w:t>heures</w:t>
            </w:r>
          </w:p>
        </w:tc>
      </w:tr>
      <w:tr w:rsidR="007E20EB" w:rsidTr="006470FF">
        <w:tc>
          <w:tcPr>
            <w:tcW w:w="2830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Crédit à la consommation</w:t>
            </w:r>
          </w:p>
        </w:tc>
        <w:tc>
          <w:tcPr>
            <w:tcW w:w="2076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</w:tr>
      <w:tr w:rsidR="007E20EB" w:rsidTr="006470FF">
        <w:tc>
          <w:tcPr>
            <w:tcW w:w="2830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Crédit hypothécaire</w:t>
            </w:r>
          </w:p>
        </w:tc>
        <w:tc>
          <w:tcPr>
            <w:tcW w:w="2076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  <w:tc>
          <w:tcPr>
            <w:tcW w:w="2077" w:type="dxa"/>
            <w:hideMark/>
          </w:tcPr>
          <w:p w:rsidR="007E20EB" w:rsidRPr="00393763" w:rsidRDefault="007E20EB" w:rsidP="006470FF">
            <w:pPr>
              <w:jc w:val="center"/>
              <w:rPr>
                <w:iCs/>
              </w:rPr>
            </w:pPr>
            <w:r>
              <w:rPr>
                <w:iCs/>
              </w:rPr>
              <w:t>…heures</w:t>
            </w:r>
          </w:p>
        </w:tc>
      </w:tr>
    </w:tbl>
    <w:p w:rsidR="007E20EB" w:rsidRPr="003907B5" w:rsidRDefault="007E20EB" w:rsidP="007E20EB">
      <w:pPr>
        <w:spacing w:before="240"/>
        <w:jc w:val="both"/>
        <w:rPr>
          <w:color w:val="7030A0"/>
        </w:rPr>
      </w:pPr>
      <w:r w:rsidRPr="007E20EB">
        <w:rPr>
          <w:i/>
          <w:color w:val="7030A0"/>
        </w:rPr>
        <w:t>Optionnel:</w:t>
      </w:r>
      <w:r w:rsidRPr="007E20EB">
        <w:rPr>
          <w:color w:val="7030A0"/>
        </w:rPr>
        <w:t xml:space="preserve"> La formation</w:t>
      </w:r>
      <w:r w:rsidRPr="003907B5">
        <w:rPr>
          <w:color w:val="7030A0"/>
        </w:rPr>
        <w:t xml:space="preserve"> a été clôturée avec un test le &lt; </w:t>
      </w:r>
      <w:r w:rsidRPr="003907B5">
        <w:rPr>
          <w:i/>
          <w:color w:val="7030A0"/>
        </w:rPr>
        <w:t>date du test</w:t>
      </w:r>
      <w:r w:rsidRPr="003907B5">
        <w:rPr>
          <w:color w:val="7030A0"/>
        </w:rPr>
        <w:t xml:space="preserve"> &gt;.</w:t>
      </w:r>
    </w:p>
    <w:p w:rsidR="007E20EB" w:rsidRDefault="007E20EB" w:rsidP="007E20EB">
      <w:pPr>
        <w:jc w:val="both"/>
      </w:pPr>
    </w:p>
    <w:p w:rsidR="007E20EB" w:rsidRPr="00FE2120" w:rsidRDefault="007E20EB" w:rsidP="007E20EB">
      <w:pPr>
        <w:jc w:val="both"/>
      </w:pPr>
      <w:r w:rsidRPr="00FE2120">
        <w:t xml:space="preserve">Etabli le &lt; </w:t>
      </w:r>
      <w:r w:rsidRPr="00FE2120">
        <w:rPr>
          <w:i/>
        </w:rPr>
        <w:t>date à laquelle l’attestation de participation est établie</w:t>
      </w:r>
      <w:r w:rsidRPr="00FE2120">
        <w:t xml:space="preserve"> &gt;,</w:t>
      </w:r>
    </w:p>
    <w:p w:rsidR="007E20EB" w:rsidRDefault="007E20EB" w:rsidP="007E20EB">
      <w:pPr>
        <w:jc w:val="both"/>
      </w:pPr>
      <w:r w:rsidRPr="00FE2120">
        <w:t xml:space="preserve">&lt; </w:t>
      </w:r>
      <w:r w:rsidRPr="00FE2120">
        <w:rPr>
          <w:i/>
        </w:rPr>
        <w:t xml:space="preserve">Nom et signature du responsable de l’organisateur de formations </w:t>
      </w:r>
      <w:r w:rsidRPr="00FE2120">
        <w:t>&gt;</w:t>
      </w:r>
    </w:p>
    <w:p w:rsidR="007E20EB" w:rsidRPr="00FE2120" w:rsidRDefault="007E20EB" w:rsidP="007E20EB">
      <w:pPr>
        <w:jc w:val="both"/>
      </w:pPr>
    </w:p>
    <w:p w:rsidR="007E20EB" w:rsidRPr="003907B5" w:rsidRDefault="007E20EB" w:rsidP="007E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387DF1">
        <w:rPr>
          <w:sz w:val="20"/>
          <w:szCs w:val="20"/>
        </w:rPr>
        <w:t xml:space="preserve">(*) Si vous devez suivre des heures de recyclage </w:t>
      </w:r>
      <w:r>
        <w:rPr>
          <w:sz w:val="20"/>
          <w:szCs w:val="20"/>
        </w:rPr>
        <w:t>pour</w:t>
      </w:r>
      <w:r w:rsidRPr="00387DF1">
        <w:rPr>
          <w:sz w:val="20"/>
          <w:szCs w:val="20"/>
        </w:rPr>
        <w:t xml:space="preserve"> plusieurs activités réglementées (distribution de (ré)assurances, intermédiation en services bancaires et d’investissement, intermédiation en crédit hypothécaire et/ou intermédiation en crédit à la consommation), </w:t>
      </w:r>
      <w:r w:rsidRPr="003907B5">
        <w:rPr>
          <w:sz w:val="20"/>
          <w:szCs w:val="20"/>
        </w:rPr>
        <w:t>vous pouvez faire valoir des heures de recyclage ‘Générales’ (avec cumul) pour max. 2/3 du nombre annuel requis d’heures de recyclage par activité réglementée.</w:t>
      </w:r>
    </w:p>
    <w:p w:rsidR="007E20EB" w:rsidRPr="00457369" w:rsidRDefault="007E20EB" w:rsidP="007E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3907B5">
        <w:rPr>
          <w:sz w:val="20"/>
          <w:szCs w:val="20"/>
        </w:rPr>
        <w:t xml:space="preserve">Si vous devez suivre des heures de recyclage seulement pour une activité réglementée, vous pouvez faire valoir </w:t>
      </w:r>
      <w:r w:rsidRPr="006E7E5C">
        <w:rPr>
          <w:sz w:val="20"/>
          <w:szCs w:val="20"/>
        </w:rPr>
        <w:t>des heures de recyclage ‘Générales’ de manière illimitée (mais attention: pour la (ré)assurance et les services bancaires et d’investissement: en tenant compte de l’obligation d</w:t>
      </w:r>
      <w:r>
        <w:rPr>
          <w:sz w:val="20"/>
          <w:szCs w:val="20"/>
        </w:rPr>
        <w:t xml:space="preserve">e l’article </w:t>
      </w:r>
      <w:r w:rsidRPr="006E7E5C">
        <w:rPr>
          <w:sz w:val="20"/>
          <w:szCs w:val="20"/>
        </w:rPr>
        <w:t>18, § 1, al. 2 de l’Arrêté royal du 18 juin 2019</w:t>
      </w:r>
      <w:r w:rsidRPr="00461AD5">
        <w:rPr>
          <w:rStyle w:val="FootnoteReference"/>
          <w:lang w:val="nl-BE"/>
        </w:rPr>
        <w:footnoteReference w:id="1"/>
      </w:r>
      <w:r w:rsidRPr="006E7E5C">
        <w:rPr>
          <w:sz w:val="20"/>
          <w:szCs w:val="20"/>
        </w:rPr>
        <w:t xml:space="preserve"> (assurances) et de l’article 8/1, § 2, al. 2 de l’Arrêté royal du 1er juillet 2006</w:t>
      </w:r>
      <w:r w:rsidRPr="00461AD5">
        <w:rPr>
          <w:rStyle w:val="FootnoteReference"/>
          <w:lang w:val="nl-BE"/>
        </w:rPr>
        <w:footnoteReference w:id="2"/>
      </w:r>
      <w:r w:rsidRPr="006E7E5C">
        <w:rPr>
          <w:sz w:val="20"/>
          <w:szCs w:val="20"/>
        </w:rPr>
        <w:t xml:space="preserve"> : </w:t>
      </w:r>
      <w:r>
        <w:rPr>
          <w:sz w:val="20"/>
          <w:szCs w:val="20"/>
        </w:rPr>
        <w:t>p</w:t>
      </w:r>
      <w:r w:rsidRPr="006E7E5C">
        <w:rPr>
          <w:sz w:val="20"/>
          <w:szCs w:val="20"/>
        </w:rPr>
        <w:t xml:space="preserve">endant les trois premières années suivant leur première inscription comme intermédiaire ou suivant leur première désignation </w:t>
      </w:r>
      <w:r w:rsidRPr="00217A40">
        <w:rPr>
          <w:sz w:val="20"/>
          <w:szCs w:val="20"/>
        </w:rPr>
        <w:t xml:space="preserve">comme responsable de la distribution ou </w:t>
      </w:r>
      <w:r w:rsidRPr="006E7E5C">
        <w:rPr>
          <w:sz w:val="20"/>
          <w:szCs w:val="20"/>
        </w:rPr>
        <w:t xml:space="preserve">leur première désignation comme dirigeant effectif </w:t>
      </w:r>
      <w:r w:rsidRPr="006E7E5C">
        <w:rPr>
          <w:i/>
          <w:sz w:val="20"/>
          <w:szCs w:val="20"/>
        </w:rPr>
        <w:t>de facto</w:t>
      </w:r>
      <w:r w:rsidRPr="006E7E5C">
        <w:rPr>
          <w:sz w:val="20"/>
          <w:szCs w:val="20"/>
        </w:rPr>
        <w:t xml:space="preserve"> respon</w:t>
      </w:r>
      <w:r>
        <w:rPr>
          <w:sz w:val="20"/>
          <w:szCs w:val="20"/>
        </w:rPr>
        <w:t>sable, le recyclage suivi par ce</w:t>
      </w:r>
      <w:r w:rsidRPr="006E7E5C">
        <w:rPr>
          <w:sz w:val="20"/>
          <w:szCs w:val="20"/>
        </w:rPr>
        <w:t xml:space="preserve">s personnes doit être ciblé, pour au moins douze heures par an, sur l'acquisition de connaissances et d'aptitudes professionnelles concernant les produits d'assurance </w:t>
      </w:r>
      <w:r>
        <w:rPr>
          <w:sz w:val="20"/>
          <w:szCs w:val="20"/>
        </w:rPr>
        <w:t xml:space="preserve">ou les services bancaires et d’investissement </w:t>
      </w:r>
      <w:r w:rsidRPr="006E7E5C">
        <w:rPr>
          <w:sz w:val="20"/>
          <w:szCs w:val="20"/>
        </w:rPr>
        <w:t xml:space="preserve">qui sont </w:t>
      </w:r>
      <w:r w:rsidRPr="00457369">
        <w:rPr>
          <w:i/>
          <w:sz w:val="20"/>
          <w:szCs w:val="20"/>
        </w:rPr>
        <w:t>de facto</w:t>
      </w:r>
      <w:r w:rsidRPr="006E7E5C">
        <w:rPr>
          <w:sz w:val="20"/>
          <w:szCs w:val="20"/>
        </w:rPr>
        <w:t xml:space="preserve"> distribués par leurs soins ou par les personnes en contact avec le public dont ils sont responsables ou assurent la supervision</w:t>
      </w:r>
      <w:r>
        <w:rPr>
          <w:sz w:val="20"/>
          <w:szCs w:val="20"/>
        </w:rPr>
        <w:t>)</w:t>
      </w:r>
      <w:r w:rsidRPr="006E7E5C">
        <w:rPr>
          <w:sz w:val="20"/>
          <w:szCs w:val="20"/>
        </w:rPr>
        <w:t>.</w:t>
      </w:r>
    </w:p>
    <w:p w:rsidR="007E20EB" w:rsidRPr="00740348" w:rsidRDefault="007E20EB" w:rsidP="007E20EB">
      <w:pPr>
        <w:spacing w:after="0" w:line="22" w:lineRule="atLeast"/>
        <w:rPr>
          <w:lang w:val="fr-FR"/>
        </w:rPr>
      </w:pPr>
    </w:p>
    <w:p w:rsidR="00D123D4" w:rsidRPr="007E20EB" w:rsidRDefault="00661D61">
      <w:pPr>
        <w:rPr>
          <w:lang w:val="fr-FR"/>
        </w:rPr>
      </w:pPr>
    </w:p>
    <w:sectPr w:rsidR="00D123D4" w:rsidRPr="007E20EB" w:rsidSect="003E19AF">
      <w:footnotePr>
        <w:numRestart w:val="eachSect"/>
      </w:footnotePr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0EB" w:rsidRDefault="007E20EB" w:rsidP="007E20EB">
      <w:pPr>
        <w:spacing w:after="0" w:line="240" w:lineRule="auto"/>
      </w:pPr>
      <w:r>
        <w:separator/>
      </w:r>
    </w:p>
  </w:endnote>
  <w:endnote w:type="continuationSeparator" w:id="0">
    <w:p w:rsidR="007E20EB" w:rsidRDefault="007E20EB" w:rsidP="007E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0EB" w:rsidRDefault="007E20EB" w:rsidP="007E20EB">
      <w:pPr>
        <w:spacing w:after="0" w:line="240" w:lineRule="auto"/>
      </w:pPr>
      <w:r>
        <w:separator/>
      </w:r>
    </w:p>
  </w:footnote>
  <w:footnote w:type="continuationSeparator" w:id="0">
    <w:p w:rsidR="007E20EB" w:rsidRDefault="007E20EB" w:rsidP="007E20EB">
      <w:pPr>
        <w:spacing w:after="0" w:line="240" w:lineRule="auto"/>
      </w:pPr>
      <w:r>
        <w:continuationSeparator/>
      </w:r>
    </w:p>
  </w:footnote>
  <w:footnote w:id="1">
    <w:p w:rsidR="007E20EB" w:rsidRPr="003907B5" w:rsidRDefault="007E20EB" w:rsidP="007E20EB">
      <w:pPr>
        <w:pStyle w:val="FootnoteText"/>
        <w:tabs>
          <w:tab w:val="left" w:pos="284"/>
        </w:tabs>
        <w:ind w:left="284" w:hanging="284"/>
        <w:jc w:val="both"/>
        <w:rPr>
          <w:sz w:val="18"/>
        </w:rPr>
      </w:pPr>
      <w:r w:rsidRPr="003907B5">
        <w:rPr>
          <w:rStyle w:val="FootnoteReference"/>
          <w:sz w:val="18"/>
        </w:rPr>
        <w:footnoteRef/>
      </w:r>
      <w:r w:rsidRPr="003907B5">
        <w:rPr>
          <w:sz w:val="18"/>
        </w:rPr>
        <w:t xml:space="preserve"> </w:t>
      </w:r>
      <w:r>
        <w:rPr>
          <w:sz w:val="18"/>
        </w:rPr>
        <w:tab/>
      </w:r>
      <w:r w:rsidRPr="003907B5">
        <w:rPr>
          <w:sz w:val="18"/>
        </w:rPr>
        <w:t>Arrêté royal du 18 juin 2019 portant exécution des articles 5, 19° /1, 264, 266, 268 et 273 de la loi du 4 avril 2014 relative aux assurances.</w:t>
      </w:r>
    </w:p>
  </w:footnote>
  <w:footnote w:id="2">
    <w:p w:rsidR="007E20EB" w:rsidRPr="00FE2120" w:rsidRDefault="007E20EB" w:rsidP="007E20EB">
      <w:pPr>
        <w:pStyle w:val="FootnoteText"/>
        <w:tabs>
          <w:tab w:val="left" w:pos="284"/>
        </w:tabs>
        <w:ind w:left="284" w:hanging="284"/>
        <w:jc w:val="both"/>
      </w:pPr>
      <w:r w:rsidRPr="003907B5">
        <w:rPr>
          <w:rStyle w:val="FootnoteReference"/>
          <w:sz w:val="18"/>
        </w:rPr>
        <w:footnoteRef/>
      </w:r>
      <w:r w:rsidRPr="003907B5">
        <w:rPr>
          <w:sz w:val="18"/>
        </w:rPr>
        <w:t xml:space="preserve"> </w:t>
      </w:r>
      <w:r>
        <w:rPr>
          <w:sz w:val="18"/>
        </w:rPr>
        <w:tab/>
      </w:r>
      <w:r w:rsidRPr="003907B5">
        <w:rPr>
          <w:sz w:val="18"/>
        </w:rPr>
        <w:t>Arrêté royal du 1er juillet 2006 portant exécution de la loi du 22 mars 2006 relative à l'intermédiation en services bancaires et en services d'investissement et à la distribution d'instruments financiers.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EB"/>
    <w:rsid w:val="003D6179"/>
    <w:rsid w:val="00661D61"/>
    <w:rsid w:val="007143D8"/>
    <w:rsid w:val="007E20EB"/>
    <w:rsid w:val="007F1584"/>
    <w:rsid w:val="00B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B1791-DD65-4410-A184-3E1ABD8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0EB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0EB"/>
    <w:pPr>
      <w:spacing w:after="0" w:line="240" w:lineRule="auto"/>
    </w:pPr>
    <w:rPr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E20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20EB"/>
    <w:rPr>
      <w:sz w:val="20"/>
      <w:szCs w:val="20"/>
      <w:lang w:val="fr-BE"/>
    </w:rPr>
  </w:style>
  <w:style w:type="character" w:styleId="FootnoteReference">
    <w:name w:val="footnote reference"/>
    <w:basedOn w:val="DefaultParagraphFont"/>
    <w:uiPriority w:val="99"/>
    <w:unhideWhenUsed/>
    <w:rsid w:val="007E20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d716018-fd07-4f96-81bd-acd8fa75e94e">OI_TPOPB@4a4b37fb-42d1-49f8-bcd7-c74683b099c4</_dlc_DocId>
    <TaxCatchAll xmlns="dd716018-fd07-4f96-81bd-acd8fa75e94e">
      <Value>32</Value>
      <Value>3</Value>
    </TaxCatchAll>
    <_dlc_DocIdUrl xmlns="dd716018-fd07-4f96-81bd-acd8fa75e94e">
      <Url>https://1place.fsmanet.be/ou/OI_TPOPB/_layouts/15/DocIdRedir.aspx?ID=OI_TPOPB%404a4b37fb-42d1-49f8-bcd7-c74683b099c4</Url>
      <Description>OI_TPOPB@4a4b37fb-42d1-49f8-bcd7-c74683b099c4</Description>
    </_dlc_DocIdUrl>
    <Dataclassification xmlns="dd3ed8e9-6cbc-4a88-9916-f9b62908aa4e">Internal</Dataclassification>
    <hyperlink xmlns="dd3ed8e9-6cbc-4a88-9916-f9b62908aa4e">
      <Url xsi:nil="true"/>
      <Description xsi:nil="true"/>
    </hyperlink>
    <Statuut xmlns="dd3ed8e9-6cbc-4a88-9916-f9b62908aa4e">
      <Value>Alle</Value>
    </Statuut>
    <Initialen_x0020_FSMA xmlns="dd3ed8e9-6cbc-4a88-9916-f9b62908aa4e" xsi:nil="true"/>
    <Language xmlns="dd3ed8e9-6cbc-4a88-9916-f9b62908aa4e">NL</Language>
    <TaxKeywordTaxHTField xmlns="dd716018-fd07-4f96-81bd-acd8fa75e94e">
      <Terms xmlns="http://schemas.microsoft.com/office/infopath/2007/PartnerControls"/>
    </TaxKeywordTaxHTField>
    <Status xmlns="dd3ed8e9-6cbc-4a88-9916-f9b62908aa4e">TBD</Status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BAE9F935837418AE7BB9E78BAF5B5" ma:contentTypeVersion="27" ma:contentTypeDescription="Create a new document." ma:contentTypeScope="" ma:versionID="dcac76671427ce518a8d2c38df029425">
  <xsd:schema xmlns:xsd="http://www.w3.org/2001/XMLSchema" xmlns:xs="http://www.w3.org/2001/XMLSchema" xmlns:p="http://schemas.microsoft.com/office/2006/metadata/properties" xmlns:ns2="dd716018-fd07-4f96-81bd-acd8fa75e94e" xmlns:ns3="dd3ed8e9-6cbc-4a88-9916-f9b62908aa4e" targetNamespace="http://schemas.microsoft.com/office/2006/metadata/properties" ma:root="true" ma:fieldsID="0b86aada48201d3df313dfac0e31256f" ns2:_="" ns3:_="">
    <xsd:import namespace="dd716018-fd07-4f96-81bd-acd8fa75e94e"/>
    <xsd:import namespace="dd3ed8e9-6cbc-4a88-9916-f9b62908aa4e"/>
    <xsd:element name="properties">
      <xsd:complexType>
        <xsd:sequence>
          <xsd:element name="documentManagement">
            <xsd:complexType>
              <xsd:all>
                <xsd:element ref="ns3:Statuut" minOccurs="0"/>
                <xsd:element ref="ns3:Initialen_x0020_FSMA" minOccurs="0"/>
                <xsd:element ref="ns3:Dataclassification" minOccurs="0"/>
                <xsd:element ref="ns3:Status" minOccurs="0"/>
                <xsd:element ref="ns3:Language" minOccurs="0"/>
                <xsd:element ref="ns3:hyperlink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16018-fd07-4f96-81bd-acd8fa75e94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7e9e7d4b-a952-4656-b277-aea94b57932c}" ma:internalName="TaxCatchAll" ma:readOnly="false" ma:showField="CatchAllData" ma:web="dd716018-fd07-4f96-81bd-acd8fa75e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20" nillable="true" ma:taxonomy="true" ma:internalName="TaxKeywordTaxHTField" ma:taxonomyFieldName="TaxKeyword" ma:displayName="Enterprise Keywords" ma:readOnly="false" ma:fieldId="{23f27201-bee3-471e-b2e7-b64fd8b7ca38}" ma:taxonomyMulti="true" ma:sspId="b0551cb1-40c1-4e7e-9007-6c3b130daec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1" nillable="true" ma:displayName="Taxonomy Catch All Column1" ma:description="" ma:hidden="true" ma:list="{7e9e7d4b-a952-4656-b277-aea94b57932c}" ma:internalName="TaxCatchAllLabel" ma:readOnly="true" ma:showField="CatchAllDataLabel" ma:web="dd716018-fd07-4f96-81bd-acd8fa75e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d8e9-6cbc-4a88-9916-f9b62908aa4e" elementFormDefault="qualified">
    <xsd:import namespace="http://schemas.microsoft.com/office/2006/documentManagement/types"/>
    <xsd:import namespace="http://schemas.microsoft.com/office/infopath/2007/PartnerControls"/>
    <xsd:element name="Statuut" ma:index="5" nillable="true" ma:displayName="Statuut" ma:default="Alle" ma:internalName="Statuut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ldMetadata"/>
                    <xsd:enumeration value="Alle"/>
                    <xsd:enumeration value="LE"/>
                    <xsd:enumeration value="IN"/>
                    <xsd:enumeration value="LEMO"/>
                    <xsd:enumeration value="LECO"/>
                    <xsd:enumeration value="INCO"/>
                    <xsd:enumeration value="INMO"/>
                    <xsd:enumeration value="INBA"/>
                    <xsd:enumeration value="INAS"/>
                    <xsd:enumeration value="INRA"/>
                    <xsd:enumeration value="OldMetadata"/>
                  </xsd:restriction>
                </xsd:simpleType>
              </xsd:element>
            </xsd:sequence>
          </xsd:extension>
        </xsd:complexContent>
      </xsd:complexType>
    </xsd:element>
    <xsd:element name="Initialen_x0020_FSMA" ma:index="6" nillable="true" ma:displayName="Initialen FSMA" ma:internalName="Initialen_x0020_FSMA" ma:readOnly="false">
      <xsd:simpleType>
        <xsd:restriction base="dms:Text">
          <xsd:maxLength value="10"/>
        </xsd:restriction>
      </xsd:simpleType>
    </xsd:element>
    <xsd:element name="Dataclassification" ma:index="7" nillable="true" ma:displayName="Dataclassification" ma:default="Internal" ma:format="Dropdown" ma:internalName="Dataclassification" ma:readOnly="false">
      <xsd:simpleType>
        <xsd:restriction base="dms:Choice">
          <xsd:enumeration value="Public"/>
          <xsd:enumeration value="Internal"/>
        </xsd:restriction>
      </xsd:simpleType>
    </xsd:element>
    <xsd:element name="Status" ma:index="8" nillable="true" ma:displayName="Status" ma:default="TBD" ma:format="Dropdown" ma:internalName="Status" ma:readOnly="false">
      <xsd:simpleType>
        <xsd:restriction base="dms:Choice">
          <xsd:enumeration value="TBD"/>
          <xsd:enumeration value="DONE"/>
          <xsd:enumeration value="Draft"/>
          <xsd:enumeration value="Final"/>
          <xsd:enumeration value="To be archived"/>
        </xsd:restriction>
      </xsd:simpleType>
    </xsd:element>
    <xsd:element name="Language" ma:index="9" nillable="true" ma:displayName="Language" ma:default="NL" ma:format="Dropdown" ma:internalName="Language" ma:readOnly="false">
      <xsd:simpleType>
        <xsd:restriction base="dms:Choice">
          <xsd:enumeration value="NL"/>
          <xsd:enumeration value="FR"/>
          <xsd:enumeration value="EN"/>
        </xsd:restriction>
      </xsd:simpleType>
    </xsd:element>
    <xsd:element name="hyperlink" ma:index="11" nillable="true" ma:displayName="hyperlink" ma:format="Hyperlink" ma:internalName="hype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67725-4165-4FEA-BA1B-4CA3D2A85A35}">
  <ds:schemaRefs>
    <ds:schemaRef ds:uri="http://schemas.microsoft.com/office/2006/metadata/properties"/>
    <ds:schemaRef ds:uri="http://schemas.microsoft.com/office/infopath/2007/PartnerControls"/>
    <ds:schemaRef ds:uri="dd716018-fd07-4f96-81bd-acd8fa75e94e"/>
    <ds:schemaRef ds:uri="dd3ed8e9-6cbc-4a88-9916-f9b62908aa4e"/>
  </ds:schemaRefs>
</ds:datastoreItem>
</file>

<file path=customXml/itemProps2.xml><?xml version="1.0" encoding="utf-8"?>
<ds:datastoreItem xmlns:ds="http://schemas.openxmlformats.org/officeDocument/2006/customXml" ds:itemID="{C28FACFD-F357-463C-B6C3-562B1396916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9496EB4-06AD-4430-8693-D50A2701B2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8511C0-57D1-4FB8-ABB3-79E6D6C60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16018-fd07-4f96-81bd-acd8fa75e94e"/>
    <ds:schemaRef ds:uri="dd3ed8e9-6cbc-4a88-9916-f9b62908a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2165</Characters>
  <Application>Microsoft Office Word</Application>
  <DocSecurity>0</DocSecurity>
  <Lines>18</Lines>
  <Paragraphs>5</Paragraphs>
  <ScaleCrop>false</ScaleCrop>
  <Company>Network Licensed User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FSMA</dc:creator>
  <cp:keywords/>
  <dc:description/>
  <cp:lastModifiedBy>Ottevaere, Pieter</cp:lastModifiedBy>
  <cp:revision>3</cp:revision>
  <dcterms:created xsi:type="dcterms:W3CDTF">2023-12-18T16:39:00Z</dcterms:created>
  <dcterms:modified xsi:type="dcterms:W3CDTF">2023-12-18T16:39:00Z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0x010100D30BAE9F935837418AE7BB9E78BAF5B5</vt:lpwstr>
  </property>
  <property fmtid="{D5CDD505-2E9C-101B-9397-08002B2CF9AE}" pid="3" name="n93a05827a234bd5bd56144e4ae5a4c5">
    <vt:lpwstr>02. Internal|b7a4dde1-915e-42b3-b701-f620e72b27e4</vt:lpwstr>
  </property>
  <property fmtid="{D5CDD505-2E9C-101B-9397-08002B2CF9AE}" pid="4" name="iea30b3d116c4abd829bda67fead4fa8">
    <vt:lpwstr>Active|3cd4d267-7354-4b79-bfd9-170c3b790a12</vt:lpwstr>
  </property>
  <property fmtid="{D5CDD505-2E9C-101B-9397-08002B2CF9AE}" pid="5" name="_dlc_DocIdItemGuid">
    <vt:lpwstr>4a4b37fb-42d1-49f8-bcd7-c74683b099c4</vt:lpwstr>
  </property>
  <property fmtid="{D5CDD505-2E9C-101B-9397-08002B2CF9AE}" pid="6" name="TaxKeyword">
    <vt:lpwstr/>
  </property>
  <property fmtid="{D5CDD505-2E9C-101B-9397-08002B2CF9AE}" pid="7" name="FSMADocStatus">
    <vt:lpwstr>32;#Active|3cd4d267-7354-4b79-bfd9-170c3b790a12</vt:lpwstr>
  </property>
  <property fmtid="{D5CDD505-2E9C-101B-9397-08002B2CF9AE}" pid="8" name="FSMADataClassification">
    <vt:lpwstr>3;#02. Internal|b7a4dde1-915e-42b3-b701-f620e72b27e4</vt:lpwstr>
  </property>
  <property fmtid="{D5CDD505-2E9C-101B-9397-08002B2CF9AE}" pid="9" name="_AdHocReviewCycleID">
    <vt:i4>-207402685</vt:i4>
  </property>
  <property fmtid="{D5CDD505-2E9C-101B-9397-08002B2CF9AE}" pid="10" name="_NewReviewCycle">
    <vt:lpwstr/>
  </property>
  <property fmtid="{D5CDD505-2E9C-101B-9397-08002B2CF9AE}" pid="11" name="_EmailSubject">
    <vt:lpwstr>Webpagina bijscholing - documenten</vt:lpwstr>
  </property>
  <property fmtid="{D5CDD505-2E9C-101B-9397-08002B2CF9AE}" pid="12" name="_AuthorEmail">
    <vt:lpwstr>Pieter.Ottevaere@fsma.be</vt:lpwstr>
  </property>
  <property fmtid="{D5CDD505-2E9C-101B-9397-08002B2CF9AE}" pid="13" name="_AuthorEmailDisplayName">
    <vt:lpwstr>Ottevaere, Pieter</vt:lpwstr>
  </property>
</Properties>
</file>