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c559b2edb189565ece2be9596fa3216864762bd"/>
    <w:p>
      <w:pPr>
        <w:pStyle w:val="Heading1"/>
      </w:pPr>
      <w:r>
        <w:t xml:space="preserve">Mode d’emploi – Déploiement et utilisation de l’application ArtGallery</w:t>
      </w:r>
    </w:p>
    <w:p>
      <w:pPr>
        <w:pStyle w:val="FirstParagraph"/>
      </w:pPr>
      <w:r>
        <w:t xml:space="preserve">Ce guide explique comment déployer et utiliser l’application ArtGallery avec ASP.NET Core, SQL Server (SSMS) et Entity Framework Core.</w:t>
      </w:r>
    </w:p>
    <w:p>
      <w:r>
        <w:pict>
          <v:rect style="width:0;height:1.5pt" o:hralign="center" o:hrstd="t" o:hr="t"/>
        </w:pict>
      </w:r>
    </w:p>
    <w:bookmarkStart w:id="20" w:name="architecture-de-lapplication-nouveauté"/>
    <w:p>
      <w:pPr>
        <w:pStyle w:val="Heading2"/>
      </w:pPr>
      <w:r>
        <w:t xml:space="preserve">Architecture de l’application (NOUVEAUTÉ)</w:t>
      </w:r>
    </w:p>
    <w:p>
      <w:pPr>
        <w:pStyle w:val="FirstParagraph"/>
      </w:pPr>
      <w:r>
        <w:t xml:space="preserve">L’application ArtGallery applique désormais une architecture propre (Clean Architecture) 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Séparation stricte des responsabilités</w:t>
      </w:r>
      <w:r>
        <w:t xml:space="preserve"> : la logique métier (CRUD, règles, gestion d’images, etc.) est déplacée dans des classes de service dédiées.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Services métiers</w:t>
      </w:r>
      <w:r>
        <w:t xml:space="preserve"> : chaque entité principale dispose d’un service 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ArtworkService</w:t>
      </w:r>
      <w:r>
        <w:t xml:space="preserve"> </w:t>
      </w:r>
      <w:r>
        <w:t xml:space="preserve">(œuvres)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CategoryService</w:t>
      </w:r>
      <w:r>
        <w:t xml:space="preserve"> </w:t>
      </w:r>
      <w:r>
        <w:t xml:space="preserve">(catégories)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ExhibitionService</w:t>
      </w:r>
      <w:r>
        <w:t xml:space="preserve"> </w:t>
      </w:r>
      <w:r>
        <w:t xml:space="preserve">(expositions)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Interfaces</w:t>
      </w:r>
      <w:r>
        <w:t xml:space="preserve"> : chaque service implémente une interface (</w:t>
      </w:r>
      <w:r>
        <w:rPr>
          <w:rStyle w:val="VerbatimChar"/>
        </w:rPr>
        <w:t xml:space="preserve">IArtworkService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ICategoryService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IExhibitionService</w:t>
      </w:r>
      <w:r>
        <w:t xml:space="preserve">) pour garantir la cohérence et faciliter les tests.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Injection de dépendances (DI)</w:t>
      </w:r>
      <w:r>
        <w:t xml:space="preserve"> : les services sont enregistrés dans le conteneur DI dans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 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IArtworkService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ArtworkService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ICategoryService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CategoryService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IExhibitionService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ExhibitionService</w:t>
      </w:r>
      <w:r>
        <w:rPr>
          <w:rStyle w:val="OperatorTok"/>
        </w:rPr>
        <w:t xml:space="preserve">&gt;();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Contrôleurs simplifiés</w:t>
      </w:r>
      <w:r>
        <w:t xml:space="preserve"> : les contrôleurs ne contiennent plus de logique métier. Ils orchestrent simplement les appels aux services et passent les données aux vues.</w:t>
      </w:r>
    </w:p>
    <w:p>
      <w:pPr>
        <w:pStyle w:val="FirstParagraph"/>
      </w:pPr>
      <w:r>
        <w:rPr>
          <w:bCs/>
          <w:b/>
        </w:rPr>
        <w:t xml:space="preserve">Avantages :</w:t>
      </w:r>
      <w:r>
        <w:t xml:space="preserve"> </w:t>
      </w:r>
      <w:r>
        <w:t xml:space="preserve">- Code plus maintenable, évolutif et testable</w:t>
      </w:r>
      <w:r>
        <w:t xml:space="preserve"> </w:t>
      </w:r>
      <w:r>
        <w:t xml:space="preserve">- Respect des bonnes pratiques ASP.NET Core</w:t>
      </w:r>
      <w:r>
        <w:t xml:space="preserve"> </w:t>
      </w:r>
      <w:r>
        <w:t xml:space="preserve">- Ajout de nouvelles règles métier ou entités facilité</w:t>
      </w:r>
    </w:p>
    <w:p>
      <w:r>
        <w:pict>
          <v:rect style="width:0;height:1.5pt" o:hralign="center" o:hrstd="t" o:hr="t"/>
        </w:pict>
      </w:r>
    </w:p>
    <w:bookmarkEnd w:id="20"/>
    <w:bookmarkStart w:id="21" w:name="prérequis"/>
    <w:p>
      <w:pPr>
        <w:pStyle w:val="Heading2"/>
      </w:pPr>
      <w:r>
        <w:t xml:space="preserve">1. Prérequis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Windows 10/11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.NET 6 SDK</w:t>
      </w:r>
      <w:r>
        <w:t xml:space="preserve"> </w:t>
      </w:r>
      <w:r>
        <w:t xml:space="preserve">ou version compatible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SQL Server</w:t>
      </w:r>
      <w:r>
        <w:t xml:space="preserve"> </w:t>
      </w:r>
      <w:r>
        <w:t xml:space="preserve">(Express, Developer ou autre) +</w:t>
      </w:r>
      <w:r>
        <w:t xml:space="preserve"> </w:t>
      </w:r>
      <w:r>
        <w:rPr>
          <w:bCs/>
          <w:b/>
        </w:rPr>
        <w:t xml:space="preserve">SQL Server Management Studio (SSMS)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Visual Studio 2022</w:t>
      </w:r>
      <w:r>
        <w:t xml:space="preserve"> </w:t>
      </w:r>
      <w:r>
        <w:t xml:space="preserve">(ou VS Code avec extensions C#)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Git</w:t>
      </w:r>
      <w:r>
        <w:t xml:space="preserve"> </w:t>
      </w:r>
      <w:r>
        <w:t xml:space="preserve">(optionnel, pour cloner le dépôt)</w:t>
      </w:r>
    </w:p>
    <w:p>
      <w:r>
        <w:pict>
          <v:rect style="width:0;height:1.5pt" o:hralign="center" o:hrstd="t" o:hr="t"/>
        </w:pict>
      </w:r>
    </w:p>
    <w:bookmarkEnd w:id="21"/>
    <w:bookmarkStart w:id="22" w:name="préparation-de-la-base-de-données"/>
    <w:p>
      <w:pPr>
        <w:pStyle w:val="Heading2"/>
      </w:pPr>
      <w:r>
        <w:t xml:space="preserve">2. Préparation de la base de données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Démarrer SQL Server</w:t>
      </w:r>
      <w:r>
        <w:t xml:space="preserve"> </w:t>
      </w:r>
      <w:r>
        <w:t xml:space="preserve">(via SSMS ou en tant que service Windows).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Créer une base de données</w:t>
      </w:r>
      <w:r>
        <w:t xml:space="preserve"> </w:t>
      </w:r>
      <w:r>
        <w:t xml:space="preserve">(ex:</w:t>
      </w:r>
      <w:r>
        <w:t xml:space="preserve"> </w:t>
      </w:r>
      <w:r>
        <w:rPr>
          <w:rStyle w:val="VerbatimChar"/>
        </w:rPr>
        <w:t xml:space="preserve">ArtGalleryDB</w:t>
      </w:r>
      <w:r>
        <w:t xml:space="preserve">) :</w:t>
      </w:r>
    </w:p>
    <w:p>
      <w:pPr>
        <w:numPr>
          <w:ilvl w:val="1"/>
          <w:numId w:val="1005"/>
        </w:numPr>
        <w:pStyle w:val="Compact"/>
      </w:pPr>
      <w:r>
        <w:t xml:space="preserve">Ouvrir SSMS</w:t>
      </w:r>
    </w:p>
    <w:p>
      <w:pPr>
        <w:numPr>
          <w:ilvl w:val="1"/>
          <w:numId w:val="1005"/>
        </w:numPr>
        <w:pStyle w:val="Compact"/>
      </w:pPr>
      <w:r>
        <w:t xml:space="preserve">Se connecter à l’instance locale</w:t>
      </w:r>
    </w:p>
    <w:p>
      <w:pPr>
        <w:numPr>
          <w:ilvl w:val="1"/>
          <w:numId w:val="1005"/>
        </w:numPr>
        <w:pStyle w:val="Compact"/>
      </w:pPr>
      <w:r>
        <w:t xml:space="preserve">Clic droit sur</w:t>
      </w:r>
      <w:r>
        <w:t xml:space="preserve"> </w:t>
      </w:r>
      <w:r>
        <w:t xml:space="preserve">“</w:t>
      </w:r>
      <w:r>
        <w:t xml:space="preserve">Bases de données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Nouvelle base de données…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Nommer la base (ex:</w:t>
      </w:r>
      <w:r>
        <w:t xml:space="preserve"> </w:t>
      </w:r>
      <w:r>
        <w:rPr>
          <w:rStyle w:val="VerbatimChar"/>
        </w:rPr>
        <w:t xml:space="preserve">ArtGalleryDB</w:t>
      </w:r>
      <w:r>
        <w:t xml:space="preserve">) et valider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Récupérer la chaîne de connexion</w:t>
      </w:r>
      <w:r>
        <w:t xml:space="preserve"> </w:t>
      </w:r>
      <w:r>
        <w:t xml:space="preserve">:</w:t>
      </w:r>
    </w:p>
    <w:p>
      <w:pPr>
        <w:numPr>
          <w:ilvl w:val="1"/>
          <w:numId w:val="1006"/>
        </w:numPr>
      </w:pPr>
      <w:r>
        <w:t xml:space="preserve">Format général 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Server=localhost;Database=ArtGalleryDB;Trusted_Connection=True;</w:t>
      </w:r>
    </w:p>
    <w:p>
      <w:pPr>
        <w:numPr>
          <w:ilvl w:val="1"/>
          <w:numId w:val="1006"/>
        </w:numPr>
      </w:pPr>
      <w:r>
        <w:t xml:space="preserve">Adapter selon votre configuration (authentification Windows ou SQL Server)</w:t>
      </w:r>
    </w:p>
    <w:p>
      <w:r>
        <w:pict>
          <v:rect style="width:0;height:1.5pt" o:hralign="center" o:hrstd="t" o:hr="t"/>
        </w:pict>
      </w:r>
    </w:p>
    <w:bookmarkEnd w:id="22"/>
    <w:bookmarkStart w:id="23" w:name="configuration-de-lapplication"/>
    <w:p>
      <w:pPr>
        <w:pStyle w:val="Heading2"/>
      </w:pPr>
      <w:r>
        <w:t xml:space="preserve">3. Configuration de l’application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Ouvrir le projet dans Visual Studio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Configurer la chaîne de connexion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appsettings.json</w:t>
      </w:r>
      <w:r>
        <w:t xml:space="preserve"> 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rrorTok"/>
        </w:rPr>
        <w:t xml:space="preserve">"ConnectionStrings":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"DefaultConnection"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"Server=localhost;Database=ArtGalleryDB;Trusted_Connection=True;"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Vérifier les paramètres de migration</w:t>
      </w:r>
      <w:r>
        <w:t xml:space="preserve"> </w:t>
      </w:r>
      <w:r>
        <w:t xml:space="preserve">(le projet doit référencer Entity Framework Core et avoir les fichiers de migration si existants)</w:t>
      </w:r>
    </w:p>
    <w:p>
      <w:r>
        <w:pict>
          <v:rect style="width:0;height:1.5pt" o:hralign="center" o:hrstd="t" o:hr="t"/>
        </w:pict>
      </w:r>
    </w:p>
    <w:bookmarkEnd w:id="23"/>
    <w:bookmarkStart w:id="24" w:name="Xf70500366e2a30c192dea2281cd288fe9fbd7f8"/>
    <w:p>
      <w:pPr>
        <w:pStyle w:val="Heading2"/>
      </w:pPr>
      <w:r>
        <w:t xml:space="preserve">4. Création et migration de la base de données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Ouvrir la Console du Gestionnaire de Package NuGet</w:t>
      </w:r>
      <w:r>
        <w:t xml:space="preserve"> </w:t>
      </w:r>
      <w:r>
        <w:t xml:space="preserve">(Outils &gt; Gestionnaire de package NuGet &gt; Console du gestionnaire de package)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Exécuter les commandes suivantes</w:t>
      </w:r>
      <w:r>
        <w:t xml:space="preserve"> </w:t>
      </w:r>
      <w:r>
        <w:t xml:space="preserve">:</w:t>
      </w:r>
    </w:p>
    <w:p>
      <w:pPr>
        <w:numPr>
          <w:ilvl w:val="1"/>
          <w:numId w:val="1009"/>
        </w:numPr>
      </w:pPr>
      <w:r>
        <w:t xml:space="preserve">Pour créer la base (si migrations présentes) 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Update-Database</w:t>
      </w:r>
    </w:p>
    <w:p>
      <w:pPr>
        <w:numPr>
          <w:ilvl w:val="1"/>
          <w:numId w:val="1009"/>
        </w:numPr>
      </w:pPr>
      <w:r>
        <w:t xml:space="preserve">Pour générer une migration (si nécessaire) 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Add-Migration InitialCreate</w:t>
      </w:r>
      <w:r>
        <w:br/>
      </w:r>
      <w:r>
        <w:rPr>
          <w:rStyle w:val="VerbatimChar"/>
        </w:rPr>
        <w:t xml:space="preserve">Update-Database</w:t>
      </w:r>
    </w:p>
    <w:p>
      <w:r>
        <w:pict>
          <v:rect style="width:0;height:1.5pt" o:hralign="center" o:hrstd="t" o:hr="t"/>
        </w:pict>
      </w:r>
    </w:p>
    <w:bookmarkEnd w:id="24"/>
    <w:bookmarkStart w:id="25" w:name="lancement-de-lapplication"/>
    <w:p>
      <w:pPr>
        <w:pStyle w:val="Heading2"/>
      </w:pPr>
      <w:r>
        <w:t xml:space="preserve">5. Lancement de l’application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Lancer le projet</w:t>
      </w:r>
      <w:r>
        <w:t xml:space="preserve"> </w:t>
      </w:r>
      <w:r>
        <w:t xml:space="preserve">(F5 ou bouton</w:t>
      </w:r>
      <w:r>
        <w:t xml:space="preserve"> </w:t>
      </w:r>
      <w:r>
        <w:t xml:space="preserve">“</w:t>
      </w:r>
      <w:r>
        <w:t xml:space="preserve">Démarrer</w:t>
      </w:r>
      <w:r>
        <w:t xml:space="preserve">”</w:t>
      </w:r>
      <w: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L’application s’ouvre dans le navigateur à l’adresse</w:t>
      </w:r>
      <w:r>
        <w:t xml:space="preserve"> </w:t>
      </w:r>
      <w:r>
        <w:rPr>
          <w:rStyle w:val="VerbatimChar"/>
        </w:rPr>
        <w:t xml:space="preserve">https://localhost:xxxx</w:t>
      </w:r>
      <w:r>
        <w:t xml:space="preserve"> </w:t>
      </w:r>
      <w:r>
        <w:t xml:space="preserve">(le port peut varier)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Créer un compte administrateur</w:t>
      </w:r>
      <w:r>
        <w:t xml:space="preserve"> </w:t>
      </w:r>
      <w:r>
        <w:t xml:space="preserve">à la première connexion (ou via SSMS si besoin)</w:t>
      </w:r>
    </w:p>
    <w:p>
      <w:r>
        <w:pict>
          <v:rect style="width:0;height:1.5pt" o:hralign="center" o:hrstd="t" o:hr="t"/>
        </w:pict>
      </w:r>
    </w:p>
    <w:bookmarkEnd w:id="25"/>
    <w:bookmarkStart w:id="26" w:name="utilisation-de-lapplication"/>
    <w:p>
      <w:pPr>
        <w:pStyle w:val="Heading2"/>
      </w:pPr>
      <w:r>
        <w:t xml:space="preserve">6. Utilisation de l’application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Navigation</w:t>
      </w:r>
      <w:r>
        <w:t xml:space="preserve"> 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t xml:space="preserve">Accueil, Galerie, Expositions, Catégories, Panier, Commandes, Livre d’or, Liens externes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Gestion</w:t>
      </w:r>
      <w:r>
        <w:t xml:space="preserve"> </w:t>
      </w:r>
      <w:r>
        <w:t xml:space="preserve">(admin) :</w:t>
      </w:r>
    </w:p>
    <w:p>
      <w:pPr>
        <w:numPr>
          <w:ilvl w:val="1"/>
          <w:numId w:val="1013"/>
        </w:numPr>
        <w:pStyle w:val="Compact"/>
      </w:pPr>
      <w:r>
        <w:t xml:space="preserve">Ajout/modification/suppression d’œuvres, expositions, catégories, liens, validation du livre d’or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Achat</w:t>
      </w:r>
      <w:r>
        <w:t xml:space="preserve"> </w:t>
      </w:r>
      <w:r>
        <w:t xml:space="preserve">(client) :</w:t>
      </w:r>
    </w:p>
    <w:p>
      <w:pPr>
        <w:numPr>
          <w:ilvl w:val="1"/>
          <w:numId w:val="1014"/>
        </w:numPr>
        <w:pStyle w:val="Compact"/>
      </w:pPr>
      <w:r>
        <w:t xml:space="preserve">Ajouter au panier, commander, suivre l’historique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Sécurité</w:t>
      </w:r>
      <w:r>
        <w:t xml:space="preserve"> 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Authentification requise pour commander ou gérer le contenu</w:t>
      </w:r>
    </w:p>
    <w:p>
      <w:r>
        <w:pict>
          <v:rect style="width:0;height:1.5pt" o:hralign="center" o:hrstd="t" o:hr="t"/>
        </w:pict>
      </w:r>
    </w:p>
    <w:bookmarkEnd w:id="26"/>
    <w:bookmarkStart w:id="27" w:name="dépannage"/>
    <w:p>
      <w:pPr>
        <w:pStyle w:val="Heading2"/>
      </w:pPr>
      <w:r>
        <w:t xml:space="preserve">7. Dépannage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Erreur de connexion à la base</w:t>
      </w:r>
      <w:r>
        <w:t xml:space="preserve"> 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Vérifier la chaîne de connexion, que SQL Server est bien démarré, que l’utilisateur a les droits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Problème de migration</w:t>
      </w:r>
      <w:r>
        <w:t xml:space="preserve"> </w:t>
      </w:r>
      <w:r>
        <w:t xml:space="preserve">:</w:t>
      </w:r>
    </w:p>
    <w:p>
      <w:pPr>
        <w:numPr>
          <w:ilvl w:val="1"/>
          <w:numId w:val="1018"/>
        </w:numPr>
        <w:pStyle w:val="Compact"/>
      </w:pPr>
      <w:r>
        <w:t xml:space="preserve">Vérifier les dépendances NuGet (Microsoft.EntityFrameworkCore.*)</w:t>
      </w:r>
    </w:p>
    <w:p>
      <w:pPr>
        <w:numPr>
          <w:ilvl w:val="1"/>
          <w:numId w:val="1018"/>
        </w:numPr>
        <w:pStyle w:val="Compact"/>
      </w:pPr>
      <w:r>
        <w:t xml:space="preserve">Nettoyer/reconstruire la solution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Erreur d’injection de dépendance (DI) pour un service</w:t>
      </w:r>
      <w:r>
        <w:t xml:space="preserve"> :</w:t>
      </w:r>
    </w:p>
    <w:p>
      <w:pPr>
        <w:numPr>
          <w:ilvl w:val="1"/>
          <w:numId w:val="1019"/>
        </w:numPr>
        <w:pStyle w:val="Compact"/>
      </w:pPr>
      <w:r>
        <w:t xml:space="preserve">Vérifier que les services sont bien enregistrés dans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 </w:t>
      </w:r>
      <w:r>
        <w:t xml:space="preserve">(voir section</w:t>
      </w:r>
      <w:r>
        <w:t xml:space="preserve"> </w:t>
      </w:r>
      <w:r>
        <w:t xml:space="preserve">“</w:t>
      </w:r>
      <w:r>
        <w:t xml:space="preserve">Architecture de l’application</w:t>
      </w:r>
      <w:r>
        <w:t xml:space="preserve">”</w:t>
      </w:r>
      <w:r>
        <w:t xml:space="preserve">)</w:t>
      </w:r>
    </w:p>
    <w:p>
      <w:pPr>
        <w:numPr>
          <w:ilvl w:val="1"/>
          <w:numId w:val="1019"/>
        </w:numPr>
        <w:pStyle w:val="Compact"/>
      </w:pPr>
      <w:r>
        <w:t xml:space="preserve">Vérifier que les fichiers d’interface et de service sont bien présents dans le dossier</w:t>
      </w:r>
      <w:r>
        <w:t xml:space="preserve"> </w:t>
      </w:r>
      <w:r>
        <w:rPr>
          <w:rStyle w:val="VerbatimChar"/>
        </w:rPr>
        <w:t xml:space="preserve">Services</w:t>
      </w:r>
    </w:p>
    <w:p>
      <w:pPr>
        <w:numPr>
          <w:ilvl w:val="1"/>
          <w:numId w:val="1019"/>
        </w:numPr>
        <w:pStyle w:val="Compact"/>
      </w:pPr>
      <w:r>
        <w:t xml:space="preserve">Vérifier les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en haut des contrôleurs (</w:t>
      </w:r>
      <w:r>
        <w:rPr>
          <w:rStyle w:val="VerbatimChar"/>
        </w:rPr>
        <w:t xml:space="preserve">using ArtGallery.Services;</w:t>
      </w:r>
      <w:r>
        <w:t xml:space="preserve">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Autres</w:t>
      </w:r>
      <w:r>
        <w:t xml:space="preserve"> 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Consulter la console de sortie de Visual Studio pour plus de détails</w:t>
      </w:r>
    </w:p>
    <w:p>
      <w:r>
        <w:pict>
          <v:rect style="width:0;height:1.5pt" o:hralign="center" o:hrstd="t" o:hr="t"/>
        </w:pict>
      </w:r>
    </w:p>
    <w:bookmarkEnd w:id="27"/>
    <w:bookmarkStart w:id="28" w:name="ressources-utiles"/>
    <w:p>
      <w:pPr>
        <w:pStyle w:val="Heading2"/>
      </w:pPr>
      <w:r>
        <w:t xml:space="preserve">8. Ressources utiles</w:t>
      </w:r>
    </w:p>
    <w:p>
      <w:pPr>
        <w:numPr>
          <w:ilvl w:val="0"/>
          <w:numId w:val="1021"/>
        </w:numPr>
        <w:pStyle w:val="Compact"/>
      </w:pPr>
      <w:r>
        <w:t xml:space="preserve">Documentation officielle ASP.NET Core : https://learn.microsoft.com/fr-fr/aspnet/core/</w:t>
      </w:r>
    </w:p>
    <w:p>
      <w:pPr>
        <w:numPr>
          <w:ilvl w:val="0"/>
          <w:numId w:val="1021"/>
        </w:numPr>
        <w:pStyle w:val="Compact"/>
      </w:pPr>
      <w:r>
        <w:t xml:space="preserve">Documentation Entity Framework Core : https://learn.microsoft.com/fr-fr/ef/core/</w:t>
      </w:r>
    </w:p>
    <w:p>
      <w:pPr>
        <w:numPr>
          <w:ilvl w:val="0"/>
          <w:numId w:val="1021"/>
        </w:numPr>
        <w:pStyle w:val="Compact"/>
      </w:pPr>
      <w:r>
        <w:t xml:space="preserve">Documentation SQL Server : https://learn.microsoft.com/fr-fr/sql/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Pour toute question ou problème, contacter l’administrateur du projet ou consulter la documentation technique jointe.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2025-04-24T08:54:40Z</dcterms:created>
  <dcterms:modified xsi:type="dcterms:W3CDTF">2025-04-24T08:54:40Z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