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960" w:rsidRPr="00E05960" w:rsidRDefault="00E05960" w:rsidP="00E05960">
      <w:pPr>
        <w:jc w:val="center"/>
        <w:rPr>
          <w:b/>
        </w:rPr>
      </w:pPr>
      <w:r w:rsidRPr="00E05960">
        <w:rPr>
          <w:b/>
        </w:rPr>
        <w:t>Вычисление напряженности магнитного поля</w:t>
      </w:r>
    </w:p>
    <w:p w:rsidR="00E05960" w:rsidRPr="00444376" w:rsidRDefault="00E05960" w:rsidP="00444376">
      <w:pPr>
        <w:jc w:val="both"/>
        <w:rPr>
          <w:lang w:val="en-US"/>
        </w:rPr>
      </w:pPr>
      <w:r>
        <w:t xml:space="preserve">Количество витков, ток и радиус катушки определяют напряженность магнитного поля электромагнитов. Напряженность магнитного поля электромагнита может быть рассчитана как </w:t>
      </w:r>
      <w:r>
        <w:rPr>
          <w:rFonts w:ascii="Cambria Math" w:hAnsi="Cambria Math" w:cs="Cambria Math"/>
        </w:rPr>
        <w:t>𝐵</w:t>
      </w:r>
      <w:r>
        <w:t xml:space="preserve"> = </w:t>
      </w:r>
      <w:r w:rsidRPr="00E05960">
        <w:rPr>
          <w:b/>
        </w:rPr>
        <w:t>μ</w:t>
      </w:r>
      <w:r w:rsidRPr="00E05960">
        <w:rPr>
          <w:rFonts w:ascii="Cambria Math" w:hAnsi="Cambria Math" w:cs="Cambria Math"/>
          <w:b/>
        </w:rPr>
        <w:t>𝑁𝐼</w:t>
      </w:r>
      <w:r w:rsidRPr="00E05960">
        <w:rPr>
          <w:b/>
        </w:rPr>
        <w:t>/</w:t>
      </w:r>
      <w:r w:rsidRPr="00E05960">
        <w:rPr>
          <w:rFonts w:ascii="Cambria Math" w:hAnsi="Cambria Math" w:cs="Cambria Math"/>
          <w:b/>
        </w:rPr>
        <w:t>𝐿</w:t>
      </w:r>
      <w:r>
        <w:rPr>
          <w:rFonts w:ascii="Cambria Math" w:hAnsi="Cambria Math" w:cs="Cambria Math"/>
        </w:rPr>
        <w:t xml:space="preserve"> </w:t>
      </w:r>
      <w:r>
        <w:t xml:space="preserve">где B - магнитная индукция или плотность магнитного потока, создаваемая электромагнитной катушкой в теслах (Т), </w:t>
      </w:r>
      <w:r w:rsidRPr="00E05960">
        <w:rPr>
          <w:b/>
        </w:rPr>
        <w:t>μ</w:t>
      </w:r>
      <w:r>
        <w:t xml:space="preserve"> - проницаемость воздуха и равна </w:t>
      </w:r>
      <w:r w:rsidRPr="008204AC">
        <w:rPr>
          <w:b/>
        </w:rPr>
        <w:t>1,25663753 × 10-6</w:t>
      </w:r>
      <w:proofErr w:type="gramStart"/>
      <w:r>
        <w:t xml:space="preserve"> </w:t>
      </w:r>
      <w:r w:rsidRPr="008204AC">
        <w:rPr>
          <w:b/>
        </w:rPr>
        <w:t>Т</w:t>
      </w:r>
      <w:proofErr w:type="gramEnd"/>
      <w:r>
        <w:t xml:space="preserve"> </w:t>
      </w:r>
      <w:r w:rsidRPr="00E05960">
        <w:rPr>
          <w:b/>
        </w:rPr>
        <w:t>м/А</w:t>
      </w:r>
      <w:r>
        <w:t xml:space="preserve">, </w:t>
      </w:r>
      <w:r w:rsidRPr="00E05960">
        <w:rPr>
          <w:b/>
        </w:rPr>
        <w:t>N</w:t>
      </w:r>
      <w:r>
        <w:t xml:space="preserve"> - общее количество витков в катушке, </w:t>
      </w:r>
      <w:r w:rsidRPr="00E05960">
        <w:rPr>
          <w:b/>
        </w:rPr>
        <w:t>I</w:t>
      </w:r>
      <w:r>
        <w:t xml:space="preserve"> - ток, используемый для питания катушки для создания требуемого магнитного поля, а </w:t>
      </w:r>
      <w:r w:rsidRPr="00E05960">
        <w:rPr>
          <w:b/>
        </w:rPr>
        <w:t>L</w:t>
      </w:r>
      <w:r>
        <w:t xml:space="preserve"> - длина электромагнитной катушки.</w:t>
      </w:r>
    </w:p>
    <w:p w:rsidR="00E05960" w:rsidRDefault="00E05960" w:rsidP="00E05960">
      <w:pPr>
        <w:jc w:val="center"/>
        <w:rPr>
          <w:b/>
        </w:rPr>
      </w:pPr>
      <w:r>
        <w:rPr>
          <w:b/>
        </w:rPr>
        <w:t>У</w:t>
      </w:r>
      <w:r w:rsidRPr="00E05960">
        <w:rPr>
          <w:b/>
        </w:rPr>
        <w:t>правление</w:t>
      </w:r>
    </w:p>
    <w:p w:rsidR="00E05960" w:rsidRDefault="00E05960" w:rsidP="00E05960">
      <w:pPr>
        <w:jc w:val="both"/>
      </w:pPr>
      <w:r>
        <w:t xml:space="preserve">Магнитное поле, создаваемое постоянными магнитами, обеспечивает сильную силу отталкивания и, таким образом, стабилизирует транспортное средство. Принцип электромагнитного движения зависит от полярности электромагнита, то есть противоположные полюса притягиваются друг к другу, в то время как одни и те же полюса отталкиваются друг от друга. В разработанном прототипе отталкивающий механизм используется для продвижения транспортного средства по трассе. Электромагниты, установленные в центре трассы, обеспечивают одинаковую полярность (Север к Северу или Юг к Югу), и, таким образом, отталкивание приводит транспортное средство в движение. </w:t>
      </w:r>
    </w:p>
    <w:p w:rsidR="00E05960" w:rsidRDefault="00E05960" w:rsidP="00E05960">
      <w:pPr>
        <w:jc w:val="both"/>
      </w:pPr>
      <w:r>
        <w:t>Сила подвеса или левитации и ток катушки напрямую связаны. Сила подвеса равна нулю при отсутствии тока катушки, и сила подвеса увеличивается по мере увеличения тока, подаваемого на катушку. Сила подвески также зависит от воздушного зазора, где большие воздушные зазоры вызывают нелинейность между напряженностью магнитного поля и током катушки.</w:t>
      </w:r>
    </w:p>
    <w:p w:rsidR="00E05960" w:rsidRDefault="008204AC" w:rsidP="0051096D">
      <w:pPr>
        <w:jc w:val="both"/>
      </w:pPr>
      <w:r>
        <w:t xml:space="preserve">Связь между силой подвеса F и током I приведена следующим образом:  </w:t>
      </w:r>
      <w:r>
        <w:rPr>
          <w:noProof/>
          <w:lang w:eastAsia="ru-RU"/>
        </w:rPr>
        <w:drawing>
          <wp:inline distT="0" distB="0" distL="0" distR="0">
            <wp:extent cx="708917" cy="266042"/>
            <wp:effectExtent l="19050" t="0" r="0" b="0"/>
            <wp:docPr id="1" name="Рисунок 1" descr="D:\Георгий\Загрузки\image-04-12-22-09-43-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Георгий\Загрузки\image-04-12-22-09-43-2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90" cy="265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t xml:space="preserve"> ,</w:t>
      </w:r>
      <w:proofErr w:type="gramEnd"/>
      <w:r>
        <w:t xml:space="preserve"> где , где </w:t>
      </w:r>
      <w:r w:rsidRPr="008204AC">
        <w:rPr>
          <w:b/>
        </w:rPr>
        <w:t>B</w:t>
      </w:r>
      <w:r>
        <w:t xml:space="preserve"> - магнитное поле, </w:t>
      </w:r>
      <w:r>
        <w:rPr>
          <w:noProof/>
          <w:lang w:eastAsia="ru-RU"/>
        </w:rPr>
        <w:drawing>
          <wp:inline distT="0" distB="0" distL="0" distR="0">
            <wp:extent cx="1694058" cy="322899"/>
            <wp:effectExtent l="19050" t="0" r="1392" b="0"/>
            <wp:docPr id="2" name="Рисунок 2" descr="D:\Георгий\Загрузки\image-04-12-22-09-43-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Георгий\Загрузки\image-04-12-22-09-43-1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108" cy="323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где </w:t>
      </w:r>
      <w:r>
        <w:rPr>
          <w:b/>
          <w:lang w:val="en-US"/>
        </w:rPr>
        <w:t>B</w:t>
      </w:r>
      <w:r w:rsidRPr="008204AC">
        <w:rPr>
          <w:b/>
        </w:rPr>
        <w:t xml:space="preserve"> </w:t>
      </w:r>
      <w:r w:rsidRPr="008204AC">
        <w:t xml:space="preserve">– </w:t>
      </w:r>
      <w:r>
        <w:t xml:space="preserve">магнитное поле, </w:t>
      </w:r>
      <w:r w:rsidRPr="008204AC">
        <w:rPr>
          <w:b/>
          <w:lang w:val="en-US"/>
        </w:rPr>
        <w:t>W</w:t>
      </w:r>
      <w:r>
        <w:t xml:space="preserve"> - </w:t>
      </w:r>
      <w:r w:rsidRPr="008204AC">
        <w:t>ширина</w:t>
      </w:r>
      <w:r>
        <w:t xml:space="preserve"> магнитного полюса электромагнита, L - продольная длина подвесной конструкции, </w:t>
      </w:r>
      <w:r w:rsidRPr="008204AC">
        <w:rPr>
          <w:b/>
        </w:rPr>
        <w:t>μ0</w:t>
      </w:r>
      <w:r>
        <w:t xml:space="preserve"> - проницаемость свободного пространства </w:t>
      </w:r>
      <w:r w:rsidRPr="008204AC">
        <w:rPr>
          <w:b/>
        </w:rPr>
        <w:t>(4π × 10-7 Н/A²)</w:t>
      </w:r>
      <w:r>
        <w:t xml:space="preserve">, </w:t>
      </w:r>
      <w:r w:rsidRPr="008204AC">
        <w:rPr>
          <w:b/>
        </w:rPr>
        <w:t>T</w:t>
      </w:r>
      <w:r>
        <w:t xml:space="preserve"> - высота рельса подвески, </w:t>
      </w:r>
      <w:proofErr w:type="spellStart"/>
      <w:r w:rsidRPr="008204AC">
        <w:rPr>
          <w:b/>
        </w:rPr>
        <w:t>h</w:t>
      </w:r>
      <w:proofErr w:type="spellEnd"/>
      <w:r>
        <w:t xml:space="preserve"> - высота электромагнита, </w:t>
      </w:r>
      <w:r w:rsidRPr="008204AC">
        <w:rPr>
          <w:b/>
        </w:rPr>
        <w:t>Z</w:t>
      </w:r>
      <w:r>
        <w:t xml:space="preserve"> - воздушный зазор подвесной конструкции и </w:t>
      </w:r>
      <w:proofErr w:type="spellStart"/>
      <w:r w:rsidRPr="008204AC">
        <w:rPr>
          <w:b/>
        </w:rPr>
        <w:t>b</w:t>
      </w:r>
      <w:proofErr w:type="spellEnd"/>
      <w:r>
        <w:t xml:space="preserve"> - ширина электромагнита.</w:t>
      </w:r>
    </w:p>
    <w:p w:rsidR="0051096D" w:rsidRDefault="0051096D" w:rsidP="0051096D">
      <w:pPr>
        <w:jc w:val="center"/>
        <w:rPr>
          <w:b/>
        </w:rPr>
      </w:pPr>
      <w:r w:rsidRPr="0051096D">
        <w:rPr>
          <w:b/>
        </w:rPr>
        <w:t>Маркировка</w:t>
      </w:r>
    </w:p>
    <w:p w:rsidR="0051096D" w:rsidRDefault="0051096D" w:rsidP="0051096D">
      <w:pPr>
        <w:spacing w:line="240" w:lineRule="auto"/>
        <w:jc w:val="both"/>
      </w:pPr>
      <w:r>
        <w:t>Маркировка магнита может быть</w:t>
      </w:r>
      <w:r w:rsidRPr="0051096D">
        <w:t>:</w:t>
      </w:r>
    </w:p>
    <w:p w:rsidR="0051096D" w:rsidRDefault="0051096D" w:rsidP="0051096D">
      <w:pPr>
        <w:spacing w:line="240" w:lineRule="auto"/>
        <w:jc w:val="both"/>
      </w:pPr>
      <w:proofErr w:type="gramStart"/>
      <w:r>
        <w:rPr>
          <w:lang w:val="en-US"/>
        </w:rPr>
        <w:t>N</w:t>
      </w:r>
      <w:r w:rsidRPr="0051096D">
        <w:t>(</w:t>
      </w:r>
      <w:proofErr w:type="gramEnd"/>
      <w:r>
        <w:rPr>
          <w:lang w:val="en-US"/>
        </w:rPr>
        <w:t>normal</w:t>
      </w:r>
      <w:r w:rsidRPr="0051096D">
        <w:t xml:space="preserve">) </w:t>
      </w:r>
      <w:r>
        <w:t>–</w:t>
      </w:r>
      <w:r w:rsidRPr="0051096D">
        <w:t xml:space="preserve"> </w:t>
      </w:r>
      <w:r>
        <w:t>могут применяться при нормальных температурах, то есть до 80 градусов Цельсия</w:t>
      </w:r>
    </w:p>
    <w:p w:rsidR="0051096D" w:rsidRDefault="0051096D" w:rsidP="0051096D">
      <w:pPr>
        <w:spacing w:line="240" w:lineRule="auto"/>
        <w:jc w:val="both"/>
      </w:pPr>
      <w:proofErr w:type="gramStart"/>
      <w:r>
        <w:rPr>
          <w:lang w:val="en-US"/>
        </w:rPr>
        <w:t>M</w:t>
      </w:r>
      <w:r w:rsidRPr="0051096D">
        <w:t>(</w:t>
      </w:r>
      <w:proofErr w:type="gramEnd"/>
      <w:r>
        <w:rPr>
          <w:lang w:val="en-US"/>
        </w:rPr>
        <w:t>medium</w:t>
      </w:r>
      <w:r w:rsidRPr="0051096D">
        <w:t xml:space="preserve">) – </w:t>
      </w:r>
      <w:r>
        <w:t>могут применяться при повышенных температурах, то есть 100 градусов Цельсия</w:t>
      </w:r>
    </w:p>
    <w:p w:rsidR="0051096D" w:rsidRPr="0051096D" w:rsidRDefault="0051096D" w:rsidP="0051096D">
      <w:pPr>
        <w:spacing w:line="240" w:lineRule="auto"/>
        <w:jc w:val="both"/>
      </w:pPr>
      <w:proofErr w:type="gramStart"/>
      <w:r>
        <w:rPr>
          <w:lang w:val="en-US"/>
        </w:rPr>
        <w:t>H</w:t>
      </w:r>
      <w:r w:rsidRPr="0051096D">
        <w:t>(</w:t>
      </w:r>
      <w:proofErr w:type="gramEnd"/>
      <w:r>
        <w:rPr>
          <w:lang w:val="en-US"/>
        </w:rPr>
        <w:t>high</w:t>
      </w:r>
      <w:r w:rsidRPr="0051096D">
        <w:t xml:space="preserve">) – </w:t>
      </w:r>
      <w:r>
        <w:t>могут применяться при повышенных температурах, то есть до 120 градусов Цельсия</w:t>
      </w:r>
    </w:p>
    <w:p w:rsidR="0051096D" w:rsidRPr="0051096D" w:rsidRDefault="0051096D" w:rsidP="0051096D">
      <w:pPr>
        <w:spacing w:line="240" w:lineRule="auto"/>
        <w:jc w:val="both"/>
      </w:pPr>
    </w:p>
    <w:p w:rsidR="0051096D" w:rsidRPr="0051096D" w:rsidRDefault="0051096D" w:rsidP="0051096D">
      <w:pPr>
        <w:spacing w:after="0" w:line="240" w:lineRule="auto"/>
        <w:jc w:val="both"/>
      </w:pPr>
    </w:p>
    <w:p w:rsidR="00444376" w:rsidRPr="00444376" w:rsidRDefault="00444376" w:rsidP="00444376">
      <w:pPr>
        <w:jc w:val="both"/>
        <w:rPr>
          <w:rFonts w:ascii="Cambria Math" w:hAnsi="Cambria Math" w:cs="Cambria Math"/>
        </w:rPr>
      </w:pPr>
    </w:p>
    <w:sectPr w:rsidR="00444376" w:rsidRPr="00444376" w:rsidSect="00F40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B6FC0"/>
    <w:multiLevelType w:val="multilevel"/>
    <w:tmpl w:val="B2A62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600A46"/>
    <w:multiLevelType w:val="multilevel"/>
    <w:tmpl w:val="876E2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characterSpacingControl w:val="doNotCompress"/>
  <w:compat/>
  <w:rsids>
    <w:rsidRoot w:val="00E05960"/>
    <w:rsid w:val="00444376"/>
    <w:rsid w:val="0051096D"/>
    <w:rsid w:val="008204AC"/>
    <w:rsid w:val="00E05960"/>
    <w:rsid w:val="00F40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6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0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04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6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07135">
                  <w:marLeft w:val="-5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98235">
                  <w:marLeft w:val="-5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 Смоляков</dc:creator>
  <cp:lastModifiedBy>Георгий Смоляков</cp:lastModifiedBy>
  <cp:revision>2</cp:revision>
  <dcterms:created xsi:type="dcterms:W3CDTF">2022-12-04T18:32:00Z</dcterms:created>
  <dcterms:modified xsi:type="dcterms:W3CDTF">2022-12-04T19:05:00Z</dcterms:modified>
</cp:coreProperties>
</file>