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  <w:color w:val="C0504D"/>
        </w:rPr>
      </w:pPr>
    </w:p>
    <w:p w14:paraId="02000000">
      <w:pPr>
        <w:pStyle w:val="Style_1"/>
        <w:ind/>
        <w:jc w:val="center"/>
        <w:rPr>
          <w:b w:val="1"/>
          <w:color w:val="C0504D"/>
        </w:rPr>
      </w:pPr>
    </w:p>
    <w:p w14:paraId="03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1. Настроить сеть согласно схеме в файле с помощью OSPF и VLAN. Починить неработающие линки.</w:t>
      </w:r>
      <w:r>
        <w:rPr>
          <w:b w:val="1"/>
          <w:color w:val="C0504D"/>
        </w:rPr>
        <w:br/>
      </w:r>
      <w:r>
        <w:rPr>
          <w:b w:val="1"/>
          <w:color w:val="C0504D"/>
        </w:rPr>
        <w:fldChar w:fldCharType="begin"/>
      </w:r>
      <w:r>
        <w:rPr>
          <w:b w:val="1"/>
          <w:color w:val="C0504D"/>
        </w:rPr>
        <w:instrText>HYPERLINK "https://disk.yandex.ru/d/IQdns-ljqsBFFg"</w:instrText>
      </w:r>
      <w:r>
        <w:rPr>
          <w:b w:val="1"/>
          <w:color w:val="C0504D"/>
        </w:rPr>
        <w:fldChar w:fldCharType="separate"/>
      </w:r>
      <w:r>
        <w:rPr>
          <w:b w:val="1"/>
          <w:color w:val="C0504D"/>
        </w:rPr>
        <w:t>https://disk.yandex.ru/d/IQdns-ljqsBFFg</w:t>
      </w:r>
      <w:r>
        <w:rPr>
          <w:b w:val="1"/>
          <w:color w:val="C0504D"/>
        </w:rPr>
        <w:fldChar w:fldCharType="end"/>
      </w:r>
    </w:p>
    <w:p w14:paraId="04000000">
      <w:pPr>
        <w:pStyle w:val="Style_1"/>
        <w:ind/>
        <w:jc w:val="center"/>
        <w:rPr>
          <w:b w:val="1"/>
        </w:rPr>
      </w:pPr>
    </w:p>
    <w:p w14:paraId="05000000">
      <w:pPr>
        <w:pStyle w:val="Style_1"/>
        <w:ind/>
        <w:jc w:val="center"/>
        <w:rPr>
          <w:b w:val="1"/>
        </w:rPr>
      </w:pPr>
      <w:r>
        <w:drawing>
          <wp:inline>
            <wp:extent cx="10698480" cy="4032934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10698480" cy="40329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  <w:ind/>
        <w:jc w:val="center"/>
        <w:rPr>
          <w:b w:val="1"/>
        </w:rPr>
      </w:pPr>
    </w:p>
    <w:p w14:paraId="07000000">
      <w:pPr>
        <w:pStyle w:val="Style_1"/>
        <w:ind/>
        <w:jc w:val="center"/>
        <w:rPr>
          <w:b w:val="1"/>
        </w:rPr>
      </w:pPr>
    </w:p>
    <w:p w14:paraId="08000000">
      <w:pPr>
        <w:pStyle w:val="Style_1"/>
        <w:ind/>
        <w:jc w:val="center"/>
        <w:rPr>
          <w:b w:val="1"/>
        </w:rPr>
      </w:pPr>
    </w:p>
    <w:p w14:paraId="09000000">
      <w:pPr>
        <w:pStyle w:val="Style_1"/>
        <w:ind/>
        <w:jc w:val="center"/>
        <w:rPr>
          <w:b w:val="1"/>
        </w:rPr>
      </w:pPr>
    </w:p>
    <w:p w14:paraId="0A000000">
      <w:pPr>
        <w:pStyle w:val="Style_1"/>
        <w:ind/>
        <w:jc w:val="center"/>
        <w:rPr>
          <w:b w:val="1"/>
        </w:rPr>
      </w:pPr>
    </w:p>
    <w:p w14:paraId="0B000000">
      <w:pPr>
        <w:pStyle w:val="Style_1"/>
        <w:ind/>
        <w:jc w:val="center"/>
        <w:rPr>
          <w:b w:val="1"/>
        </w:rPr>
      </w:pPr>
    </w:p>
    <w:p w14:paraId="0C000000">
      <w:pPr>
        <w:pStyle w:val="Style_1"/>
        <w:ind/>
        <w:jc w:val="center"/>
        <w:rPr>
          <w:b w:val="1"/>
        </w:rPr>
      </w:pPr>
    </w:p>
    <w:p w14:paraId="0D000000">
      <w:pPr>
        <w:pStyle w:val="Style_1"/>
        <w:ind/>
        <w:jc w:val="center"/>
        <w:rPr>
          <w:b w:val="1"/>
        </w:rPr>
      </w:pPr>
    </w:p>
    <w:p w14:paraId="0E000000">
      <w:pPr>
        <w:pStyle w:val="Style_1"/>
        <w:ind/>
        <w:jc w:val="center"/>
        <w:rPr>
          <w:b w:val="1"/>
        </w:rPr>
      </w:pPr>
    </w:p>
    <w:p w14:paraId="0F000000">
      <w:pPr>
        <w:pStyle w:val="Style_1"/>
        <w:ind/>
        <w:jc w:val="center"/>
        <w:rPr>
          <w:b w:val="1"/>
        </w:rPr>
      </w:pPr>
    </w:p>
    <w:p w14:paraId="10000000">
      <w:pPr>
        <w:pStyle w:val="Style_1"/>
        <w:ind/>
        <w:jc w:val="center"/>
        <w:rPr>
          <w:b w:val="1"/>
        </w:rPr>
      </w:pPr>
    </w:p>
    <w:p w14:paraId="11000000">
      <w:pPr>
        <w:pStyle w:val="Style_1"/>
        <w:ind/>
        <w:jc w:val="center"/>
        <w:rPr>
          <w:b w:val="1"/>
        </w:rPr>
      </w:pPr>
    </w:p>
    <w:p w14:paraId="12000000">
      <w:pPr>
        <w:pStyle w:val="Style_1"/>
        <w:ind/>
        <w:jc w:val="center"/>
        <w:rPr>
          <w:b w:val="1"/>
        </w:rPr>
      </w:pPr>
    </w:p>
    <w:p w14:paraId="13000000">
      <w:pPr>
        <w:pStyle w:val="Style_1"/>
        <w:ind/>
        <w:jc w:val="center"/>
        <w:rPr>
          <w:b w:val="1"/>
        </w:rPr>
      </w:pPr>
    </w:p>
    <w:p w14:paraId="14000000">
      <w:pPr>
        <w:pStyle w:val="Style_1"/>
        <w:ind/>
        <w:jc w:val="center"/>
        <w:rPr>
          <w:b w:val="1"/>
        </w:rPr>
      </w:pPr>
    </w:p>
    <w:p w14:paraId="15000000">
      <w:pPr>
        <w:pStyle w:val="Style_1"/>
        <w:ind/>
        <w:jc w:val="center"/>
        <w:rPr>
          <w:b w:val="1"/>
        </w:rPr>
      </w:pPr>
      <w:r>
        <w:drawing>
          <wp:inline>
            <wp:extent cx="10698480" cy="3681325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10698480" cy="3681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  <w:ind/>
        <w:jc w:val="center"/>
        <w:rPr>
          <w:b w:val="1"/>
        </w:rPr>
      </w:pPr>
    </w:p>
    <w:p w14:paraId="17000000">
      <w:pPr>
        <w:pStyle w:val="Style_1"/>
        <w:ind/>
        <w:jc w:val="center"/>
        <w:rPr>
          <w:b w:val="1"/>
        </w:rPr>
      </w:pPr>
    </w:p>
    <w:p w14:paraId="18000000">
      <w:pPr>
        <w:pStyle w:val="Style_1"/>
        <w:ind/>
        <w:jc w:val="center"/>
        <w:rPr>
          <w:b w:val="1"/>
        </w:rPr>
      </w:pPr>
    </w:p>
    <w:p w14:paraId="19000000">
      <w:pPr>
        <w:pStyle w:val="Style_1"/>
        <w:ind/>
        <w:jc w:val="center"/>
        <w:rPr>
          <w:b w:val="1"/>
        </w:rPr>
      </w:pPr>
    </w:p>
    <w:p w14:paraId="1A000000">
      <w:pPr>
        <w:pStyle w:val="Style_1"/>
        <w:ind/>
        <w:jc w:val="center"/>
        <w:rPr>
          <w:b w:val="1"/>
        </w:rPr>
      </w:pPr>
    </w:p>
    <w:p w14:paraId="1B000000">
      <w:pPr>
        <w:pStyle w:val="Style_1"/>
        <w:ind/>
        <w:jc w:val="center"/>
        <w:rPr>
          <w:b w:val="1"/>
        </w:rPr>
      </w:pPr>
    </w:p>
    <w:p w14:paraId="1C000000">
      <w:pPr>
        <w:pStyle w:val="Style_1"/>
        <w:ind/>
        <w:jc w:val="center"/>
        <w:rPr>
          <w:b w:val="1"/>
        </w:rPr>
      </w:pPr>
    </w:p>
    <w:p w14:paraId="1D000000">
      <w:pPr>
        <w:pStyle w:val="Style_1"/>
        <w:ind/>
        <w:jc w:val="center"/>
        <w:rPr>
          <w:b w:val="1"/>
        </w:rPr>
      </w:pPr>
    </w:p>
    <w:p w14:paraId="1E000000">
      <w:pPr>
        <w:pStyle w:val="Style_1"/>
        <w:ind/>
        <w:jc w:val="center"/>
        <w:rPr>
          <w:b w:val="1"/>
        </w:rPr>
      </w:pPr>
    </w:p>
    <w:p w14:paraId="1F000000">
      <w:pPr>
        <w:pStyle w:val="Style_1"/>
        <w:ind/>
        <w:jc w:val="center"/>
        <w:rPr>
          <w:b w:val="1"/>
        </w:rPr>
      </w:pPr>
    </w:p>
    <w:p w14:paraId="20000000">
      <w:pPr>
        <w:pStyle w:val="Style_1"/>
        <w:ind/>
        <w:jc w:val="center"/>
        <w:rPr>
          <w:b w:val="1"/>
        </w:rPr>
      </w:pPr>
    </w:p>
    <w:p w14:paraId="21000000">
      <w:pPr>
        <w:pStyle w:val="Style_1"/>
        <w:ind/>
        <w:jc w:val="center"/>
        <w:rPr>
          <w:b w:val="1"/>
        </w:rPr>
      </w:pPr>
    </w:p>
    <w:p w14:paraId="22000000">
      <w:pPr>
        <w:pStyle w:val="Style_1"/>
        <w:ind/>
        <w:jc w:val="center"/>
        <w:rPr>
          <w:b w:val="1"/>
        </w:rPr>
      </w:pPr>
    </w:p>
    <w:p w14:paraId="23000000">
      <w:pPr>
        <w:pStyle w:val="Style_1"/>
        <w:ind/>
        <w:jc w:val="center"/>
        <w:rPr>
          <w:b w:val="1"/>
        </w:rPr>
      </w:pPr>
    </w:p>
    <w:p w14:paraId="24000000">
      <w:pPr>
        <w:pStyle w:val="Style_1"/>
        <w:ind/>
        <w:jc w:val="center"/>
        <w:rPr>
          <w:b w:val="1"/>
        </w:rPr>
      </w:pPr>
    </w:p>
    <w:p w14:paraId="25000000">
      <w:pPr>
        <w:pStyle w:val="Style_1"/>
        <w:ind/>
        <w:jc w:val="center"/>
        <w:rPr>
          <w:b w:val="1"/>
        </w:rPr>
      </w:pPr>
    </w:p>
    <w:p w14:paraId="26000000">
      <w:pPr>
        <w:pStyle w:val="Style_1"/>
        <w:ind/>
        <w:jc w:val="center"/>
        <w:rPr>
          <w:b w:val="1"/>
        </w:rPr>
      </w:pPr>
    </w:p>
    <w:p w14:paraId="27000000">
      <w:pPr>
        <w:pStyle w:val="Style_1"/>
        <w:ind/>
        <w:jc w:val="center"/>
        <w:rPr>
          <w:b w:val="1"/>
        </w:rPr>
      </w:pPr>
    </w:p>
    <w:p w14:paraId="28000000">
      <w:pPr>
        <w:pStyle w:val="Style_1"/>
        <w:ind/>
        <w:jc w:val="center"/>
        <w:rPr>
          <w:b w:val="1"/>
        </w:rPr>
      </w:pPr>
      <w:r>
        <w:rPr>
          <w:b w:val="1"/>
        </w:rPr>
        <w:t xml:space="preserve">ping c сервера 172.17.255.132 на ПК 10.0.0.10 и </w:t>
      </w:r>
      <w:r>
        <w:rPr>
          <w:b w:val="1"/>
        </w:rPr>
        <w:t>10.0.0.11</w:t>
      </w:r>
    </w:p>
    <w:p w14:paraId="29000000">
      <w:pPr>
        <w:pStyle w:val="Style_1"/>
        <w:ind/>
        <w:jc w:val="center"/>
        <w:rPr>
          <w:b w:val="1"/>
        </w:rPr>
      </w:pPr>
      <w:r>
        <w:drawing>
          <wp:inline>
            <wp:extent cx="10698480" cy="3671564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10698480" cy="36715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A000000">
      <w:pPr>
        <w:pStyle w:val="Style_1"/>
        <w:ind/>
        <w:jc w:val="center"/>
        <w:rPr>
          <w:b w:val="1"/>
        </w:rPr>
      </w:pPr>
    </w:p>
    <w:p w14:paraId="2B000000">
      <w:pPr>
        <w:pStyle w:val="Style_1"/>
        <w:ind/>
        <w:jc w:val="center"/>
        <w:rPr>
          <w:b w:val="1"/>
        </w:rPr>
      </w:pPr>
    </w:p>
    <w:p w14:paraId="2C000000">
      <w:pPr>
        <w:pStyle w:val="Style_1"/>
        <w:ind/>
        <w:jc w:val="center"/>
        <w:rPr>
          <w:b w:val="1"/>
        </w:rPr>
      </w:pPr>
    </w:p>
    <w:p w14:paraId="2D000000">
      <w:pPr>
        <w:pStyle w:val="Style_1"/>
        <w:ind/>
        <w:jc w:val="center"/>
        <w:rPr>
          <w:b w:val="1"/>
        </w:rPr>
      </w:pPr>
    </w:p>
    <w:p w14:paraId="2E000000">
      <w:pPr>
        <w:pStyle w:val="Style_1"/>
        <w:ind/>
        <w:jc w:val="center"/>
        <w:rPr>
          <w:b w:val="1"/>
        </w:rPr>
      </w:pPr>
    </w:p>
    <w:p w14:paraId="2F000000">
      <w:pPr>
        <w:pStyle w:val="Style_1"/>
        <w:ind/>
        <w:jc w:val="center"/>
        <w:rPr>
          <w:b w:val="1"/>
        </w:rPr>
      </w:pPr>
    </w:p>
    <w:p w14:paraId="30000000">
      <w:pPr>
        <w:pStyle w:val="Style_1"/>
        <w:ind/>
        <w:jc w:val="center"/>
        <w:rPr>
          <w:b w:val="1"/>
        </w:rPr>
      </w:pPr>
    </w:p>
    <w:p w14:paraId="31000000">
      <w:pPr>
        <w:pStyle w:val="Style_1"/>
        <w:ind/>
        <w:jc w:val="center"/>
        <w:rPr>
          <w:b w:val="1"/>
        </w:rPr>
      </w:pPr>
    </w:p>
    <w:p w14:paraId="32000000">
      <w:pPr>
        <w:pStyle w:val="Style_1"/>
        <w:ind/>
        <w:jc w:val="center"/>
        <w:rPr>
          <w:b w:val="1"/>
        </w:rPr>
      </w:pPr>
    </w:p>
    <w:p w14:paraId="33000000">
      <w:pPr>
        <w:pStyle w:val="Style_1"/>
        <w:ind/>
        <w:jc w:val="center"/>
        <w:rPr>
          <w:b w:val="1"/>
        </w:rPr>
      </w:pPr>
    </w:p>
    <w:p w14:paraId="34000000">
      <w:pPr>
        <w:pStyle w:val="Style_1"/>
        <w:ind/>
        <w:jc w:val="center"/>
        <w:rPr>
          <w:b w:val="1"/>
        </w:rPr>
      </w:pPr>
    </w:p>
    <w:p w14:paraId="35000000">
      <w:pPr>
        <w:pStyle w:val="Style_1"/>
        <w:ind/>
        <w:jc w:val="center"/>
        <w:rPr>
          <w:b w:val="1"/>
        </w:rPr>
      </w:pPr>
    </w:p>
    <w:p w14:paraId="36000000">
      <w:pPr>
        <w:pStyle w:val="Style_1"/>
        <w:ind/>
        <w:jc w:val="center"/>
        <w:rPr>
          <w:b w:val="1"/>
        </w:rPr>
      </w:pPr>
    </w:p>
    <w:p w14:paraId="37000000">
      <w:pPr>
        <w:pStyle w:val="Style_1"/>
        <w:ind/>
        <w:jc w:val="center"/>
        <w:rPr>
          <w:b w:val="1"/>
        </w:rPr>
      </w:pPr>
    </w:p>
    <w:p w14:paraId="38000000">
      <w:pPr>
        <w:pStyle w:val="Style_1"/>
        <w:ind/>
        <w:jc w:val="center"/>
        <w:rPr>
          <w:b w:val="1"/>
        </w:rPr>
      </w:pPr>
    </w:p>
    <w:p w14:paraId="39000000">
      <w:pPr>
        <w:pStyle w:val="Style_1"/>
        <w:ind/>
        <w:jc w:val="center"/>
        <w:rPr>
          <w:b w:val="1"/>
        </w:rPr>
      </w:pPr>
    </w:p>
    <w:p w14:paraId="3A000000">
      <w:pPr>
        <w:pStyle w:val="Style_1"/>
        <w:ind/>
        <w:jc w:val="center"/>
        <w:rPr>
          <w:b w:val="1"/>
        </w:rPr>
      </w:pPr>
    </w:p>
    <w:p w14:paraId="3B000000">
      <w:pPr>
        <w:pStyle w:val="Style_1"/>
        <w:ind/>
        <w:jc w:val="center"/>
        <w:rPr>
          <w:b w:val="1"/>
        </w:rPr>
      </w:pPr>
    </w:p>
    <w:p w14:paraId="3C000000">
      <w:pPr>
        <w:pStyle w:val="Style_1"/>
        <w:ind/>
        <w:jc w:val="center"/>
        <w:rPr>
          <w:b w:val="1"/>
        </w:rPr>
      </w:pPr>
      <w:r>
        <w:rPr>
          <w:b w:val="1"/>
        </w:rPr>
        <w:t xml:space="preserve">ping c сервера 172.17.255.132 на ПК 192.168.100.2 и </w:t>
      </w:r>
      <w:r>
        <w:rPr>
          <w:b w:val="1"/>
        </w:rPr>
        <w:t>192.168.100.3</w:t>
      </w:r>
    </w:p>
    <w:p w14:paraId="3D000000">
      <w:pPr>
        <w:pStyle w:val="Style_1"/>
        <w:ind/>
        <w:jc w:val="center"/>
        <w:rPr>
          <w:b w:val="1"/>
        </w:rPr>
      </w:pPr>
      <w:r>
        <w:drawing>
          <wp:inline>
            <wp:extent cx="10698480" cy="3734937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10698480" cy="37349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pStyle w:val="Style_1"/>
        <w:ind/>
        <w:jc w:val="center"/>
        <w:rPr>
          <w:b w:val="1"/>
        </w:rPr>
      </w:pPr>
    </w:p>
    <w:p w14:paraId="3F000000">
      <w:pPr>
        <w:pStyle w:val="Style_1"/>
        <w:ind/>
        <w:jc w:val="center"/>
        <w:rPr>
          <w:b w:val="1"/>
        </w:rPr>
      </w:pPr>
    </w:p>
    <w:p w14:paraId="40000000">
      <w:pPr>
        <w:pStyle w:val="Style_1"/>
        <w:ind/>
        <w:jc w:val="center"/>
        <w:rPr>
          <w:b w:val="1"/>
        </w:rPr>
      </w:pPr>
    </w:p>
    <w:p w14:paraId="41000000">
      <w:pPr>
        <w:pStyle w:val="Style_1"/>
        <w:ind/>
        <w:jc w:val="center"/>
        <w:rPr>
          <w:b w:val="1"/>
        </w:rPr>
      </w:pPr>
    </w:p>
    <w:p w14:paraId="42000000">
      <w:pPr>
        <w:pStyle w:val="Style_1"/>
        <w:ind/>
        <w:jc w:val="center"/>
        <w:rPr>
          <w:b w:val="1"/>
        </w:rPr>
      </w:pPr>
    </w:p>
    <w:p w14:paraId="43000000">
      <w:pPr>
        <w:pStyle w:val="Style_1"/>
        <w:ind/>
        <w:jc w:val="center"/>
        <w:rPr>
          <w:b w:val="1"/>
        </w:rPr>
      </w:pPr>
    </w:p>
    <w:p w14:paraId="44000000">
      <w:pPr>
        <w:pStyle w:val="Style_1"/>
        <w:ind/>
        <w:jc w:val="center"/>
        <w:rPr>
          <w:b w:val="1"/>
        </w:rPr>
      </w:pPr>
    </w:p>
    <w:p w14:paraId="45000000">
      <w:pPr>
        <w:pStyle w:val="Style_1"/>
        <w:ind/>
        <w:jc w:val="center"/>
        <w:rPr>
          <w:b w:val="1"/>
        </w:rPr>
      </w:pPr>
    </w:p>
    <w:p w14:paraId="46000000">
      <w:pPr>
        <w:pStyle w:val="Style_1"/>
        <w:ind/>
        <w:jc w:val="center"/>
        <w:rPr>
          <w:b w:val="1"/>
        </w:rPr>
      </w:pPr>
    </w:p>
    <w:p w14:paraId="47000000">
      <w:pPr>
        <w:pStyle w:val="Style_1"/>
        <w:ind/>
        <w:jc w:val="center"/>
        <w:rPr>
          <w:b w:val="1"/>
        </w:rPr>
      </w:pPr>
    </w:p>
    <w:p w14:paraId="48000000">
      <w:pPr>
        <w:pStyle w:val="Style_1"/>
        <w:ind/>
        <w:jc w:val="center"/>
        <w:rPr>
          <w:b w:val="1"/>
        </w:rPr>
      </w:pPr>
    </w:p>
    <w:p w14:paraId="49000000">
      <w:pPr>
        <w:pStyle w:val="Style_1"/>
        <w:ind/>
        <w:jc w:val="center"/>
        <w:rPr>
          <w:b w:val="1"/>
        </w:rPr>
      </w:pPr>
    </w:p>
    <w:p w14:paraId="4A000000">
      <w:pPr>
        <w:pStyle w:val="Style_1"/>
        <w:ind/>
        <w:jc w:val="center"/>
        <w:rPr>
          <w:b w:val="1"/>
        </w:rPr>
      </w:pPr>
    </w:p>
    <w:p w14:paraId="4B000000">
      <w:pPr>
        <w:pStyle w:val="Style_1"/>
        <w:ind/>
        <w:jc w:val="center"/>
        <w:rPr>
          <w:b w:val="1"/>
        </w:rPr>
      </w:pPr>
    </w:p>
    <w:p w14:paraId="4C000000">
      <w:pPr>
        <w:pStyle w:val="Style_1"/>
        <w:ind/>
        <w:jc w:val="center"/>
        <w:rPr>
          <w:b w:val="1"/>
        </w:rPr>
      </w:pPr>
    </w:p>
    <w:p w14:paraId="4D000000">
      <w:pPr>
        <w:pStyle w:val="Style_1"/>
        <w:ind/>
        <w:jc w:val="center"/>
        <w:rPr>
          <w:b w:val="1"/>
        </w:rPr>
      </w:pPr>
    </w:p>
    <w:p w14:paraId="4E000000">
      <w:pPr>
        <w:pStyle w:val="Style_1"/>
        <w:ind/>
        <w:jc w:val="center"/>
        <w:rPr>
          <w:b w:val="1"/>
        </w:rPr>
      </w:pPr>
    </w:p>
    <w:p w14:paraId="4F000000">
      <w:pPr>
        <w:pStyle w:val="Style_1"/>
        <w:ind/>
        <w:jc w:val="center"/>
        <w:rPr>
          <w:b w:val="1"/>
        </w:rPr>
      </w:pPr>
      <w:r>
        <w:rPr>
          <w:b w:val="1"/>
        </w:rPr>
        <w:t xml:space="preserve">ping c сервера 172.17.255.132 на ПК 192.168.200.2 и </w:t>
      </w:r>
      <w:r>
        <w:rPr>
          <w:b w:val="1"/>
        </w:rPr>
        <w:t>192.168.200.3</w:t>
      </w:r>
    </w:p>
    <w:p w14:paraId="50000000">
      <w:pPr>
        <w:pStyle w:val="Style_1"/>
        <w:ind/>
        <w:jc w:val="center"/>
        <w:rPr>
          <w:b w:val="1"/>
        </w:rPr>
      </w:pPr>
      <w:r>
        <w:drawing>
          <wp:inline>
            <wp:extent cx="10698480" cy="376406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10698480" cy="37640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pStyle w:val="Style_1"/>
        <w:ind/>
        <w:jc w:val="center"/>
        <w:rPr>
          <w:b w:val="1"/>
        </w:rPr>
      </w:pPr>
    </w:p>
    <w:p w14:paraId="52000000">
      <w:pPr>
        <w:pStyle w:val="Style_1"/>
        <w:ind/>
        <w:jc w:val="center"/>
        <w:rPr>
          <w:b w:val="1"/>
        </w:rPr>
      </w:pPr>
    </w:p>
    <w:p w14:paraId="53000000">
      <w:pPr>
        <w:pStyle w:val="Style_1"/>
        <w:ind/>
        <w:jc w:val="center"/>
        <w:rPr>
          <w:b w:val="1"/>
        </w:rPr>
      </w:pPr>
    </w:p>
    <w:p w14:paraId="54000000">
      <w:pPr>
        <w:pStyle w:val="Style_1"/>
        <w:ind/>
        <w:jc w:val="center"/>
        <w:rPr>
          <w:b w:val="1"/>
        </w:rPr>
      </w:pPr>
    </w:p>
    <w:p w14:paraId="55000000">
      <w:pPr>
        <w:pStyle w:val="Style_1"/>
        <w:ind/>
        <w:jc w:val="center"/>
        <w:rPr>
          <w:b w:val="1"/>
        </w:rPr>
      </w:pPr>
    </w:p>
    <w:p w14:paraId="56000000">
      <w:pPr>
        <w:pStyle w:val="Style_1"/>
        <w:ind/>
        <w:jc w:val="center"/>
        <w:rPr>
          <w:b w:val="1"/>
        </w:rPr>
      </w:pPr>
    </w:p>
    <w:p w14:paraId="57000000">
      <w:pPr>
        <w:pStyle w:val="Style_1"/>
        <w:ind/>
        <w:jc w:val="center"/>
        <w:rPr>
          <w:b w:val="1"/>
        </w:rPr>
      </w:pPr>
    </w:p>
    <w:p w14:paraId="58000000">
      <w:pPr>
        <w:pStyle w:val="Style_1"/>
        <w:ind/>
        <w:jc w:val="center"/>
        <w:rPr>
          <w:b w:val="1"/>
        </w:rPr>
      </w:pPr>
    </w:p>
    <w:p w14:paraId="59000000">
      <w:pPr>
        <w:pStyle w:val="Style_1"/>
        <w:ind/>
        <w:jc w:val="center"/>
        <w:rPr>
          <w:b w:val="1"/>
        </w:rPr>
      </w:pPr>
    </w:p>
    <w:p w14:paraId="5A000000">
      <w:pPr>
        <w:pStyle w:val="Style_1"/>
        <w:ind/>
        <w:jc w:val="center"/>
        <w:rPr>
          <w:b w:val="1"/>
        </w:rPr>
      </w:pPr>
    </w:p>
    <w:p w14:paraId="5B000000">
      <w:pPr>
        <w:pStyle w:val="Style_1"/>
        <w:ind/>
        <w:jc w:val="center"/>
        <w:rPr>
          <w:b w:val="1"/>
        </w:rPr>
      </w:pPr>
    </w:p>
    <w:p w14:paraId="5C000000">
      <w:pPr>
        <w:pStyle w:val="Style_1"/>
        <w:ind/>
        <w:jc w:val="center"/>
        <w:rPr>
          <w:b w:val="1"/>
        </w:rPr>
      </w:pPr>
    </w:p>
    <w:p w14:paraId="5D000000">
      <w:pPr>
        <w:pStyle w:val="Style_1"/>
        <w:ind/>
        <w:jc w:val="center"/>
        <w:rPr>
          <w:b w:val="1"/>
        </w:rPr>
      </w:pPr>
    </w:p>
    <w:p w14:paraId="5E000000">
      <w:pPr>
        <w:pStyle w:val="Style_1"/>
        <w:ind/>
        <w:jc w:val="center"/>
        <w:rPr>
          <w:b w:val="1"/>
        </w:rPr>
      </w:pPr>
    </w:p>
    <w:p w14:paraId="5F000000">
      <w:pPr>
        <w:pStyle w:val="Style_1"/>
        <w:ind/>
        <w:jc w:val="center"/>
        <w:rPr>
          <w:b w:val="1"/>
        </w:rPr>
      </w:pPr>
    </w:p>
    <w:p w14:paraId="60000000">
      <w:pPr>
        <w:pStyle w:val="Style_1"/>
        <w:ind/>
        <w:jc w:val="center"/>
        <w:rPr>
          <w:b w:val="1"/>
          <w:color w:val="C0504D"/>
        </w:rPr>
      </w:pPr>
    </w:p>
    <w:p w14:paraId="61000000">
      <w:pPr>
        <w:pStyle w:val="Style_1"/>
        <w:ind/>
        <w:jc w:val="center"/>
        <w:rPr>
          <w:b w:val="1"/>
          <w:color w:val="C0504D"/>
        </w:rPr>
      </w:pPr>
    </w:p>
    <w:p w14:paraId="62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2. Убедиться что трафик от компов до сервера ходит через два маршрута с помощью ЕСМР.</w:t>
      </w:r>
    </w:p>
    <w:p w14:paraId="63000000">
      <w:pPr>
        <w:pStyle w:val="Style_1"/>
        <w:ind/>
        <w:jc w:val="center"/>
        <w:rPr>
          <w:b w:val="1"/>
          <w:color w:val="C0504D"/>
        </w:rPr>
      </w:pPr>
    </w:p>
    <w:p w14:paraId="64000000">
      <w:pPr>
        <w:pStyle w:val="Style_1"/>
        <w:ind/>
        <w:jc w:val="center"/>
        <w:rPr>
          <w:b w:val="1"/>
        </w:rPr>
      </w:pPr>
      <w:r>
        <w:drawing>
          <wp:inline>
            <wp:extent cx="10698480" cy="3840325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10698480" cy="3840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5000000">
      <w:pPr>
        <w:pStyle w:val="Style_1"/>
        <w:ind/>
        <w:jc w:val="center"/>
        <w:rPr>
          <w:b w:val="1"/>
        </w:rPr>
      </w:pPr>
    </w:p>
    <w:p w14:paraId="66000000">
      <w:pPr>
        <w:pStyle w:val="Style_1"/>
        <w:ind/>
        <w:jc w:val="center"/>
        <w:rPr>
          <w:b w:val="1"/>
        </w:rPr>
      </w:pPr>
    </w:p>
    <w:p w14:paraId="67000000">
      <w:pPr>
        <w:pStyle w:val="Style_1"/>
        <w:ind/>
        <w:jc w:val="center"/>
        <w:rPr>
          <w:b w:val="1"/>
        </w:rPr>
      </w:pPr>
    </w:p>
    <w:p w14:paraId="68000000">
      <w:pPr>
        <w:pStyle w:val="Style_1"/>
        <w:ind/>
        <w:jc w:val="center"/>
        <w:rPr>
          <w:b w:val="1"/>
        </w:rPr>
      </w:pPr>
    </w:p>
    <w:p w14:paraId="69000000">
      <w:pPr>
        <w:pStyle w:val="Style_1"/>
        <w:ind/>
        <w:jc w:val="center"/>
        <w:rPr>
          <w:b w:val="1"/>
        </w:rPr>
      </w:pPr>
    </w:p>
    <w:p w14:paraId="6A000000">
      <w:pPr>
        <w:pStyle w:val="Style_1"/>
        <w:ind/>
        <w:jc w:val="center"/>
        <w:rPr>
          <w:b w:val="1"/>
        </w:rPr>
      </w:pPr>
    </w:p>
    <w:p w14:paraId="6B000000">
      <w:pPr>
        <w:pStyle w:val="Style_1"/>
        <w:ind/>
        <w:jc w:val="center"/>
        <w:rPr>
          <w:b w:val="1"/>
        </w:rPr>
      </w:pPr>
      <w:r>
        <w:rPr>
          <w:b w:val="1"/>
        </w:rPr>
        <w:t>При использовании tracert 172.17.255.132 с ПК 10.0.0.10 можно увидеть что трафик (пакеты данных) проходит через r5 и r2.</w:t>
      </w:r>
    </w:p>
    <w:p w14:paraId="6C000000">
      <w:pPr>
        <w:pStyle w:val="Style_1"/>
        <w:ind/>
        <w:jc w:val="center"/>
        <w:rPr>
          <w:b w:val="1"/>
        </w:rPr>
      </w:pPr>
    </w:p>
    <w:p w14:paraId="6D000000">
      <w:pPr>
        <w:pStyle w:val="Style_1"/>
        <w:ind/>
        <w:jc w:val="center"/>
        <w:rPr>
          <w:b w:val="1"/>
        </w:rPr>
      </w:pPr>
    </w:p>
    <w:p w14:paraId="6E000000">
      <w:pPr>
        <w:pStyle w:val="Style_1"/>
        <w:ind/>
        <w:jc w:val="center"/>
        <w:rPr>
          <w:b w:val="1"/>
        </w:rPr>
      </w:pPr>
    </w:p>
    <w:p w14:paraId="6F000000">
      <w:pPr>
        <w:pStyle w:val="Style_1"/>
        <w:ind/>
        <w:jc w:val="center"/>
        <w:rPr>
          <w:b w:val="1"/>
        </w:rPr>
      </w:pPr>
    </w:p>
    <w:p w14:paraId="70000000">
      <w:pPr>
        <w:pStyle w:val="Style_1"/>
        <w:ind/>
        <w:jc w:val="center"/>
        <w:rPr>
          <w:b w:val="1"/>
        </w:rPr>
      </w:pPr>
    </w:p>
    <w:p w14:paraId="71000000">
      <w:pPr>
        <w:pStyle w:val="Style_1"/>
        <w:ind/>
        <w:jc w:val="center"/>
        <w:rPr>
          <w:b w:val="1"/>
        </w:rPr>
      </w:pPr>
    </w:p>
    <w:p w14:paraId="72000000">
      <w:pPr>
        <w:pStyle w:val="Style_1"/>
        <w:ind/>
        <w:jc w:val="center"/>
        <w:rPr>
          <w:b w:val="1"/>
        </w:rPr>
      </w:pPr>
    </w:p>
    <w:p w14:paraId="73000000">
      <w:pPr>
        <w:pStyle w:val="Style_1"/>
        <w:ind/>
        <w:jc w:val="center"/>
        <w:rPr>
          <w:b w:val="1"/>
        </w:rPr>
      </w:pPr>
    </w:p>
    <w:p w14:paraId="74000000">
      <w:pPr>
        <w:pStyle w:val="Style_1"/>
        <w:ind/>
        <w:jc w:val="center"/>
        <w:rPr>
          <w:b w:val="1"/>
        </w:rPr>
      </w:pPr>
    </w:p>
    <w:p w14:paraId="75000000">
      <w:pPr>
        <w:pStyle w:val="Style_1"/>
        <w:ind/>
        <w:jc w:val="center"/>
        <w:rPr>
          <w:b w:val="1"/>
        </w:rPr>
      </w:pPr>
    </w:p>
    <w:p w14:paraId="76000000">
      <w:pPr>
        <w:pStyle w:val="Style_1"/>
        <w:ind/>
        <w:jc w:val="center"/>
        <w:rPr>
          <w:b w:val="1"/>
        </w:rPr>
      </w:pPr>
    </w:p>
    <w:p w14:paraId="77000000">
      <w:pPr>
        <w:pStyle w:val="Style_1"/>
        <w:ind/>
        <w:jc w:val="center"/>
        <w:rPr>
          <w:b w:val="1"/>
        </w:rPr>
      </w:pPr>
      <w:r>
        <w:drawing>
          <wp:inline>
            <wp:extent cx="10698480" cy="3965869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10698480" cy="39658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pPr>
        <w:pStyle w:val="Style_1"/>
        <w:ind/>
        <w:jc w:val="center"/>
        <w:rPr>
          <w:b w:val="1"/>
        </w:rPr>
      </w:pPr>
    </w:p>
    <w:p w14:paraId="79000000">
      <w:pPr>
        <w:pStyle w:val="Style_1"/>
        <w:ind/>
        <w:jc w:val="center"/>
        <w:rPr>
          <w:b w:val="1"/>
        </w:rPr>
      </w:pPr>
    </w:p>
    <w:p w14:paraId="7A000000">
      <w:pPr>
        <w:pStyle w:val="Style_1"/>
        <w:ind/>
        <w:jc w:val="center"/>
        <w:rPr>
          <w:b w:val="1"/>
        </w:rPr>
      </w:pPr>
    </w:p>
    <w:p w14:paraId="7B000000">
      <w:pPr>
        <w:pStyle w:val="Style_1"/>
        <w:ind/>
        <w:jc w:val="center"/>
        <w:rPr>
          <w:b w:val="1"/>
        </w:rPr>
      </w:pPr>
    </w:p>
    <w:p w14:paraId="7C000000">
      <w:pPr>
        <w:pStyle w:val="Style_1"/>
        <w:ind/>
        <w:jc w:val="center"/>
        <w:rPr>
          <w:b w:val="1"/>
        </w:rPr>
      </w:pPr>
    </w:p>
    <w:p w14:paraId="7D000000">
      <w:pPr>
        <w:pStyle w:val="Style_1"/>
        <w:ind/>
        <w:jc w:val="center"/>
        <w:rPr>
          <w:b w:val="1"/>
        </w:rPr>
      </w:pPr>
    </w:p>
    <w:p w14:paraId="7E000000">
      <w:pPr>
        <w:pStyle w:val="Style_1"/>
        <w:ind/>
        <w:jc w:val="center"/>
        <w:rPr>
          <w:b w:val="1"/>
        </w:rPr>
      </w:pPr>
      <w:r>
        <w:rPr>
          <w:b w:val="1"/>
        </w:rPr>
        <w:t>При использовании tracert 192.168.200.2 с сервера 172.17.255.132 можно увидеть что трафик (пакеты данных) проходит через r5.</w:t>
      </w:r>
    </w:p>
    <w:p w14:paraId="7F000000">
      <w:pPr>
        <w:pStyle w:val="Style_1"/>
        <w:ind/>
        <w:jc w:val="center"/>
        <w:rPr>
          <w:b w:val="1"/>
        </w:rPr>
      </w:pPr>
    </w:p>
    <w:p w14:paraId="80000000">
      <w:pPr>
        <w:pStyle w:val="Style_1"/>
        <w:ind/>
        <w:jc w:val="center"/>
        <w:rPr>
          <w:b w:val="1"/>
        </w:rPr>
      </w:pPr>
    </w:p>
    <w:p w14:paraId="81000000">
      <w:pPr>
        <w:pStyle w:val="Style_1"/>
        <w:ind/>
        <w:jc w:val="center"/>
        <w:rPr>
          <w:b w:val="1"/>
        </w:rPr>
      </w:pPr>
    </w:p>
    <w:p w14:paraId="82000000">
      <w:pPr>
        <w:pStyle w:val="Style_1"/>
        <w:ind/>
        <w:jc w:val="center"/>
        <w:rPr>
          <w:b w:val="1"/>
        </w:rPr>
      </w:pPr>
    </w:p>
    <w:p w14:paraId="83000000">
      <w:pPr>
        <w:pStyle w:val="Style_1"/>
        <w:ind/>
        <w:jc w:val="center"/>
        <w:rPr>
          <w:b w:val="1"/>
        </w:rPr>
      </w:pPr>
    </w:p>
    <w:p w14:paraId="84000000">
      <w:pPr>
        <w:pStyle w:val="Style_1"/>
        <w:ind/>
        <w:jc w:val="center"/>
        <w:rPr>
          <w:b w:val="1"/>
        </w:rPr>
      </w:pPr>
    </w:p>
    <w:p w14:paraId="85000000">
      <w:pPr>
        <w:pStyle w:val="Style_1"/>
        <w:ind/>
        <w:jc w:val="center"/>
        <w:rPr>
          <w:b w:val="1"/>
        </w:rPr>
      </w:pPr>
    </w:p>
    <w:p w14:paraId="86000000">
      <w:pPr>
        <w:pStyle w:val="Style_1"/>
        <w:ind/>
        <w:jc w:val="center"/>
        <w:rPr>
          <w:b w:val="1"/>
        </w:rPr>
      </w:pPr>
    </w:p>
    <w:p w14:paraId="87000000">
      <w:pPr>
        <w:pStyle w:val="Style_1"/>
        <w:ind/>
        <w:jc w:val="center"/>
        <w:rPr>
          <w:b w:val="1"/>
        </w:rPr>
      </w:pPr>
    </w:p>
    <w:p w14:paraId="88000000">
      <w:pPr>
        <w:pStyle w:val="Style_1"/>
        <w:ind/>
        <w:jc w:val="center"/>
        <w:rPr>
          <w:b w:val="1"/>
        </w:rPr>
      </w:pPr>
    </w:p>
    <w:p w14:paraId="89000000">
      <w:pPr>
        <w:pStyle w:val="Style_1"/>
        <w:ind/>
        <w:jc w:val="center"/>
        <w:rPr>
          <w:b w:val="1"/>
        </w:rPr>
      </w:pPr>
      <w:r>
        <w:drawing>
          <wp:inline>
            <wp:extent cx="10698481" cy="3894347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10698481" cy="389434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A000000">
      <w:pPr>
        <w:pStyle w:val="Style_1"/>
        <w:ind/>
        <w:jc w:val="center"/>
        <w:rPr>
          <w:b w:val="1"/>
        </w:rPr>
      </w:pPr>
    </w:p>
    <w:p w14:paraId="8B000000">
      <w:pPr>
        <w:pStyle w:val="Style_1"/>
        <w:ind/>
        <w:jc w:val="center"/>
        <w:rPr>
          <w:b w:val="1"/>
        </w:rPr>
      </w:pPr>
    </w:p>
    <w:p w14:paraId="8C000000">
      <w:pPr>
        <w:pStyle w:val="Style_1"/>
        <w:ind/>
        <w:jc w:val="center"/>
        <w:rPr>
          <w:b w:val="1"/>
        </w:rPr>
      </w:pPr>
    </w:p>
    <w:p w14:paraId="8D000000">
      <w:pPr>
        <w:pStyle w:val="Style_1"/>
        <w:ind/>
        <w:jc w:val="center"/>
        <w:rPr>
          <w:b w:val="1"/>
        </w:rPr>
      </w:pPr>
    </w:p>
    <w:p w14:paraId="8E000000">
      <w:pPr>
        <w:pStyle w:val="Style_1"/>
        <w:ind/>
        <w:jc w:val="center"/>
        <w:rPr>
          <w:b w:val="1"/>
        </w:rPr>
      </w:pPr>
    </w:p>
    <w:p w14:paraId="8F000000">
      <w:pPr>
        <w:pStyle w:val="Style_1"/>
        <w:ind/>
        <w:jc w:val="center"/>
        <w:rPr>
          <w:b w:val="1"/>
        </w:rPr>
      </w:pPr>
    </w:p>
    <w:p w14:paraId="90000000">
      <w:pPr>
        <w:pStyle w:val="Style_1"/>
        <w:ind/>
        <w:jc w:val="center"/>
        <w:rPr>
          <w:b w:val="1"/>
        </w:rPr>
      </w:pPr>
      <w:r>
        <w:rPr>
          <w:b w:val="1"/>
        </w:rPr>
        <w:t>При использовании tracert 192.168.200.2 с сервера 172.17.255.132 можно увидеть что трафик (пакеты данных) проходит через r5 и r2.</w:t>
      </w:r>
    </w:p>
    <w:p w14:paraId="91000000">
      <w:pPr>
        <w:pStyle w:val="Style_1"/>
        <w:ind/>
        <w:jc w:val="center"/>
        <w:rPr>
          <w:b w:val="1"/>
        </w:rPr>
      </w:pPr>
    </w:p>
    <w:p w14:paraId="92000000">
      <w:pPr>
        <w:pStyle w:val="Style_1"/>
        <w:ind/>
        <w:jc w:val="center"/>
        <w:rPr>
          <w:b w:val="1"/>
        </w:rPr>
      </w:pPr>
    </w:p>
    <w:p w14:paraId="93000000">
      <w:pPr>
        <w:pStyle w:val="Style_1"/>
        <w:ind/>
        <w:jc w:val="center"/>
        <w:rPr>
          <w:b w:val="1"/>
        </w:rPr>
      </w:pPr>
    </w:p>
    <w:p w14:paraId="94000000">
      <w:pPr>
        <w:pStyle w:val="Style_1"/>
        <w:ind/>
        <w:jc w:val="center"/>
        <w:rPr>
          <w:b w:val="1"/>
        </w:rPr>
      </w:pPr>
    </w:p>
    <w:p w14:paraId="95000000">
      <w:pPr>
        <w:pStyle w:val="Style_1"/>
        <w:ind/>
        <w:jc w:val="center"/>
        <w:rPr>
          <w:b w:val="1"/>
        </w:rPr>
      </w:pPr>
    </w:p>
    <w:p w14:paraId="96000000">
      <w:pPr>
        <w:pStyle w:val="Style_1"/>
        <w:ind/>
        <w:jc w:val="center"/>
        <w:rPr>
          <w:b w:val="1"/>
        </w:rPr>
      </w:pPr>
    </w:p>
    <w:p w14:paraId="97000000">
      <w:pPr>
        <w:pStyle w:val="Style_1"/>
        <w:ind/>
        <w:jc w:val="center"/>
        <w:rPr>
          <w:b w:val="1"/>
        </w:rPr>
      </w:pPr>
    </w:p>
    <w:p w14:paraId="98000000">
      <w:pPr>
        <w:ind/>
        <w:jc w:val="center"/>
        <w:rPr>
          <w:b w:val="1"/>
          <w:color w:val="C0504D"/>
        </w:rPr>
      </w:pPr>
    </w:p>
    <w:p w14:paraId="99000000">
      <w:pPr>
        <w:ind/>
        <w:jc w:val="center"/>
        <w:rPr>
          <w:b w:val="1"/>
        </w:rPr>
      </w:pPr>
    </w:p>
    <w:p w14:paraId="9A000000">
      <w:pPr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3.Скинуть скриншот с таблицей маршрутизации с r1. Должны быть сети Connected для VLAN’ов.</w:t>
      </w:r>
    </w:p>
    <w:p w14:paraId="9B000000">
      <w:pPr>
        <w:ind/>
        <w:jc w:val="center"/>
        <w:rPr>
          <w:b w:val="1"/>
          <w:color w:val="C0504D"/>
        </w:rPr>
      </w:pPr>
      <w:r>
        <w:drawing>
          <wp:inline>
            <wp:extent cx="10698480" cy="3668537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10698480" cy="36685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C000000">
      <w:pPr>
        <w:ind/>
        <w:jc w:val="center"/>
        <w:rPr>
          <w:b w:val="1"/>
          <w:color w:val="C0504D"/>
        </w:rPr>
      </w:pPr>
    </w:p>
    <w:p w14:paraId="9D000000">
      <w:pPr>
        <w:ind/>
        <w:jc w:val="center"/>
        <w:rPr>
          <w:b w:val="1"/>
          <w:color w:val="C0504D"/>
        </w:rPr>
      </w:pPr>
    </w:p>
    <w:p w14:paraId="9E000000">
      <w:pPr>
        <w:ind/>
        <w:jc w:val="center"/>
        <w:rPr>
          <w:b w:val="1"/>
          <w:color w:val="C0504D"/>
        </w:rPr>
      </w:pPr>
    </w:p>
    <w:p w14:paraId="9F000000">
      <w:pPr>
        <w:ind/>
        <w:jc w:val="center"/>
        <w:rPr>
          <w:b w:val="1"/>
          <w:color w:val="C0504D"/>
        </w:rPr>
      </w:pPr>
    </w:p>
    <w:p w14:paraId="A0000000">
      <w:pPr>
        <w:ind/>
        <w:jc w:val="center"/>
        <w:rPr>
          <w:b w:val="1"/>
          <w:color w:val="C0504D"/>
        </w:rPr>
      </w:pPr>
    </w:p>
    <w:p w14:paraId="A1000000">
      <w:pPr>
        <w:ind/>
        <w:jc w:val="center"/>
        <w:rPr>
          <w:b w:val="1"/>
          <w:color w:val="C0504D"/>
        </w:rPr>
      </w:pPr>
    </w:p>
    <w:p w14:paraId="A2000000">
      <w:pPr>
        <w:ind/>
        <w:jc w:val="center"/>
        <w:rPr>
          <w:b w:val="1"/>
          <w:color w:val="C0504D"/>
        </w:rPr>
      </w:pPr>
    </w:p>
    <w:p w14:paraId="A3000000">
      <w:pPr>
        <w:ind/>
        <w:jc w:val="center"/>
        <w:rPr>
          <w:b w:val="1"/>
          <w:color w:val="C0504D"/>
        </w:rPr>
      </w:pPr>
    </w:p>
    <w:p w14:paraId="A4000000">
      <w:pPr>
        <w:ind/>
        <w:jc w:val="center"/>
        <w:rPr>
          <w:b w:val="1"/>
          <w:color w:val="C0504D"/>
        </w:rPr>
      </w:pPr>
    </w:p>
    <w:p w14:paraId="A5000000">
      <w:pPr>
        <w:ind/>
        <w:jc w:val="center"/>
        <w:rPr>
          <w:b w:val="1"/>
          <w:color w:val="C0504D"/>
        </w:rPr>
      </w:pPr>
    </w:p>
    <w:p w14:paraId="A6000000">
      <w:pPr>
        <w:ind/>
        <w:jc w:val="center"/>
        <w:rPr>
          <w:b w:val="1"/>
          <w:color w:val="C0504D"/>
        </w:rPr>
      </w:pPr>
    </w:p>
    <w:p w14:paraId="A7000000">
      <w:pPr>
        <w:ind/>
        <w:jc w:val="center"/>
        <w:rPr>
          <w:b w:val="1"/>
          <w:color w:val="C0504D"/>
        </w:rPr>
      </w:pPr>
    </w:p>
    <w:p w14:paraId="A8000000">
      <w:pPr>
        <w:ind/>
        <w:jc w:val="center"/>
        <w:rPr>
          <w:b w:val="1"/>
          <w:color w:val="C0504D"/>
        </w:rPr>
      </w:pPr>
    </w:p>
    <w:p w14:paraId="A9000000">
      <w:pPr>
        <w:ind/>
        <w:jc w:val="center"/>
        <w:rPr>
          <w:b w:val="1"/>
          <w:color w:val="C0504D"/>
        </w:rPr>
      </w:pPr>
    </w:p>
    <w:p w14:paraId="AA000000">
      <w:pPr>
        <w:ind/>
        <w:jc w:val="center"/>
        <w:rPr>
          <w:b w:val="1"/>
          <w:color w:val="C0504D"/>
        </w:rPr>
      </w:pPr>
    </w:p>
    <w:p w14:paraId="AB000000">
      <w:pPr>
        <w:ind/>
        <w:jc w:val="center"/>
        <w:rPr>
          <w:b w:val="1"/>
          <w:color w:val="C0504D"/>
        </w:rPr>
      </w:pPr>
    </w:p>
    <w:p w14:paraId="AC000000">
      <w:pPr>
        <w:ind/>
        <w:jc w:val="center"/>
        <w:rPr>
          <w:b w:val="1"/>
          <w:color w:val="C0504D"/>
        </w:rPr>
      </w:pPr>
    </w:p>
    <w:p w14:paraId="AD000000">
      <w:pPr>
        <w:ind/>
        <w:jc w:val="center"/>
        <w:rPr>
          <w:b w:val="1"/>
          <w:color w:val="C0504D"/>
        </w:rPr>
      </w:pPr>
    </w:p>
    <w:p w14:paraId="AE000000">
      <w:pPr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4. Поймать трейс на любом компе, когда он пойдет через r5. Удалить один из линков на r5. Снова сделать трейс, убедиться что трафик пошел по резервному пути. Скинуть скриншот с разными трейсами.</w:t>
      </w:r>
      <w:r>
        <w:rPr>
          <w:b w:val="1"/>
          <w:color w:val="C0504D"/>
        </w:rPr>
        <w:br/>
      </w:r>
      <w:r>
        <w:rPr>
          <w:b w:val="1"/>
          <w:color w:val="C0504D"/>
        </w:rPr>
        <w:t>Скинуть еще один скриншот с изменившейся таблицей маршрутизации с r1.</w:t>
      </w:r>
    </w:p>
    <w:p w14:paraId="AF000000">
      <w:pPr>
        <w:ind/>
        <w:jc w:val="center"/>
        <w:rPr>
          <w:b w:val="1"/>
          <w:color w:val="C0504D"/>
        </w:rPr>
      </w:pPr>
    </w:p>
    <w:p w14:paraId="B0000000">
      <w:pPr>
        <w:ind/>
        <w:jc w:val="center"/>
        <w:rPr>
          <w:b w:val="1"/>
          <w:color w:val="C0504D"/>
        </w:rPr>
      </w:pPr>
      <w:r>
        <w:drawing>
          <wp:inline>
            <wp:extent cx="10698480" cy="3701126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10698480" cy="37011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1000000">
      <w:pPr>
        <w:ind/>
        <w:jc w:val="center"/>
        <w:rPr>
          <w:b w:val="1"/>
          <w:color w:val="C0504D"/>
        </w:rPr>
      </w:pPr>
    </w:p>
    <w:p w14:paraId="B2000000">
      <w:pPr>
        <w:ind/>
        <w:jc w:val="center"/>
        <w:rPr>
          <w:b w:val="1"/>
          <w:color w:val="C0504D"/>
        </w:rPr>
      </w:pPr>
    </w:p>
    <w:p w14:paraId="B3000000">
      <w:pPr>
        <w:ind/>
        <w:jc w:val="center"/>
        <w:rPr>
          <w:b w:val="1"/>
          <w:color w:val="C0504D"/>
        </w:rPr>
      </w:pPr>
    </w:p>
    <w:p w14:paraId="B4000000">
      <w:pPr>
        <w:ind/>
        <w:jc w:val="center"/>
        <w:rPr>
          <w:b w:val="1"/>
          <w:color w:val="C0504D"/>
        </w:rPr>
      </w:pPr>
    </w:p>
    <w:p w14:paraId="B5000000">
      <w:pPr>
        <w:ind/>
        <w:jc w:val="center"/>
        <w:rPr>
          <w:b w:val="1"/>
          <w:color w:val="C0504D"/>
        </w:rPr>
      </w:pPr>
    </w:p>
    <w:p w14:paraId="B6000000">
      <w:pPr>
        <w:ind/>
        <w:jc w:val="center"/>
        <w:rPr>
          <w:b w:val="1"/>
          <w:color w:val="C0504D"/>
        </w:rPr>
      </w:pPr>
    </w:p>
    <w:p w14:paraId="B7000000">
      <w:pPr>
        <w:ind/>
        <w:jc w:val="center"/>
        <w:rPr>
          <w:b w:val="1"/>
          <w:color w:val="C0504D"/>
        </w:rPr>
      </w:pPr>
    </w:p>
    <w:p w14:paraId="B8000000">
      <w:pPr>
        <w:ind/>
        <w:jc w:val="center"/>
        <w:rPr>
          <w:b w:val="1"/>
          <w:color w:val="C0504D"/>
        </w:rPr>
      </w:pPr>
    </w:p>
    <w:p w14:paraId="B9000000">
      <w:pPr>
        <w:ind/>
        <w:jc w:val="center"/>
        <w:rPr>
          <w:b w:val="1"/>
          <w:color w:val="C0504D"/>
        </w:rPr>
      </w:pPr>
    </w:p>
    <w:p w14:paraId="BA000000">
      <w:pPr>
        <w:ind/>
        <w:jc w:val="center"/>
        <w:rPr>
          <w:b w:val="1"/>
          <w:color w:val="C0504D"/>
        </w:rPr>
      </w:pPr>
    </w:p>
    <w:p w14:paraId="BB000000">
      <w:pPr>
        <w:ind/>
        <w:jc w:val="center"/>
        <w:rPr>
          <w:b w:val="1"/>
          <w:color w:val="C0504D"/>
        </w:rPr>
      </w:pPr>
    </w:p>
    <w:p w14:paraId="BC000000">
      <w:pPr>
        <w:ind/>
        <w:jc w:val="center"/>
        <w:rPr>
          <w:b w:val="1"/>
          <w:color w:val="C0504D"/>
        </w:rPr>
      </w:pPr>
    </w:p>
    <w:p w14:paraId="BD000000">
      <w:pPr>
        <w:ind/>
        <w:jc w:val="center"/>
        <w:rPr>
          <w:b w:val="1"/>
          <w:color w:val="C0504D"/>
        </w:rPr>
      </w:pPr>
    </w:p>
    <w:p w14:paraId="BE000000">
      <w:pPr>
        <w:ind/>
        <w:jc w:val="center"/>
        <w:rPr>
          <w:b w:val="1"/>
          <w:color w:val="C0504D"/>
        </w:rPr>
      </w:pPr>
    </w:p>
    <w:p w14:paraId="BF000000">
      <w:pPr>
        <w:ind/>
        <w:jc w:val="center"/>
        <w:rPr>
          <w:b w:val="1"/>
          <w:color w:val="C0504D"/>
        </w:rPr>
      </w:pPr>
    </w:p>
    <w:p w14:paraId="C0000000">
      <w:pPr>
        <w:ind/>
        <w:jc w:val="center"/>
        <w:rPr>
          <w:b w:val="1"/>
          <w:color w:val="C0504D"/>
        </w:rPr>
      </w:pPr>
      <w:r>
        <w:drawing>
          <wp:inline>
            <wp:extent cx="10698481" cy="376154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10698481" cy="3761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1000000">
      <w:pPr>
        <w:ind/>
        <w:jc w:val="center"/>
        <w:rPr>
          <w:b w:val="1"/>
          <w:color w:val="C0504D"/>
        </w:rPr>
      </w:pPr>
    </w:p>
    <w:p w14:paraId="C2000000">
      <w:pPr>
        <w:ind/>
        <w:jc w:val="center"/>
        <w:rPr>
          <w:b w:val="1"/>
          <w:color w:val="C0504D"/>
        </w:rPr>
      </w:pPr>
    </w:p>
    <w:p w14:paraId="C3000000">
      <w:pPr>
        <w:ind/>
        <w:jc w:val="center"/>
        <w:rPr>
          <w:b w:val="1"/>
          <w:color w:val="C0504D"/>
        </w:rPr>
      </w:pPr>
    </w:p>
    <w:p w14:paraId="C4000000">
      <w:pPr>
        <w:ind/>
        <w:jc w:val="center"/>
        <w:rPr>
          <w:b w:val="1"/>
          <w:color w:val="C0504D"/>
        </w:rPr>
      </w:pPr>
    </w:p>
    <w:p w14:paraId="C5000000">
      <w:pPr>
        <w:ind/>
        <w:jc w:val="center"/>
        <w:rPr>
          <w:b w:val="1"/>
          <w:color w:val="C0504D"/>
        </w:rPr>
      </w:pPr>
    </w:p>
    <w:p w14:paraId="C6000000">
      <w:pPr>
        <w:ind/>
        <w:jc w:val="center"/>
        <w:rPr>
          <w:b w:val="1"/>
          <w:color w:val="C0504D"/>
        </w:rPr>
      </w:pPr>
    </w:p>
    <w:p w14:paraId="C7000000">
      <w:pPr>
        <w:ind/>
        <w:jc w:val="center"/>
        <w:rPr>
          <w:b w:val="1"/>
          <w:color w:val="C0504D"/>
        </w:rPr>
      </w:pPr>
    </w:p>
    <w:p w14:paraId="C8000000">
      <w:pPr>
        <w:ind/>
        <w:jc w:val="center"/>
        <w:rPr>
          <w:b w:val="1"/>
          <w:color w:val="C0504D"/>
        </w:rPr>
      </w:pPr>
    </w:p>
    <w:p w14:paraId="C9000000">
      <w:pPr>
        <w:ind/>
        <w:jc w:val="center"/>
        <w:rPr>
          <w:b w:val="1"/>
          <w:color w:val="C0504D"/>
        </w:rPr>
      </w:pPr>
    </w:p>
    <w:p w14:paraId="CA000000">
      <w:pPr>
        <w:ind/>
        <w:jc w:val="center"/>
        <w:rPr>
          <w:b w:val="1"/>
          <w:color w:val="C0504D"/>
        </w:rPr>
      </w:pPr>
    </w:p>
    <w:p w14:paraId="CB000000">
      <w:pPr>
        <w:ind/>
        <w:jc w:val="center"/>
        <w:rPr>
          <w:b w:val="1"/>
          <w:color w:val="C0504D"/>
        </w:rPr>
      </w:pPr>
    </w:p>
    <w:p w14:paraId="CC000000">
      <w:pPr>
        <w:ind/>
        <w:jc w:val="center"/>
        <w:rPr>
          <w:b w:val="1"/>
          <w:color w:val="C0504D"/>
        </w:rPr>
      </w:pPr>
    </w:p>
    <w:p w14:paraId="CD000000">
      <w:pPr>
        <w:ind/>
        <w:jc w:val="center"/>
        <w:rPr>
          <w:b w:val="1"/>
          <w:color w:val="C0504D"/>
        </w:rPr>
      </w:pPr>
    </w:p>
    <w:p w14:paraId="CE000000">
      <w:pPr>
        <w:ind/>
        <w:jc w:val="center"/>
        <w:rPr>
          <w:b w:val="1"/>
          <w:color w:val="C0504D"/>
        </w:rPr>
      </w:pPr>
    </w:p>
    <w:p w14:paraId="CF000000">
      <w:pPr>
        <w:ind/>
        <w:jc w:val="center"/>
        <w:rPr>
          <w:b w:val="1"/>
          <w:color w:val="C0504D"/>
        </w:rPr>
      </w:pPr>
    </w:p>
    <w:p w14:paraId="D0000000">
      <w:pPr>
        <w:ind/>
        <w:jc w:val="center"/>
        <w:rPr>
          <w:b w:val="1"/>
          <w:color w:val="C0504D"/>
        </w:rPr>
      </w:pPr>
    </w:p>
    <w:p w14:paraId="D1000000">
      <w:pPr>
        <w:ind/>
        <w:jc w:val="center"/>
        <w:rPr>
          <w:b w:val="1"/>
          <w:color w:val="C0504D"/>
        </w:rPr>
      </w:pPr>
    </w:p>
    <w:p w14:paraId="D2000000">
      <w:pPr>
        <w:ind/>
        <w:jc w:val="center"/>
        <w:rPr>
          <w:b w:val="1"/>
          <w:color w:val="C0504D"/>
        </w:rPr>
      </w:pPr>
    </w:p>
    <w:p w14:paraId="D3000000">
      <w:pPr>
        <w:ind/>
        <w:jc w:val="center"/>
        <w:rPr>
          <w:b w:val="1"/>
          <w:color w:val="C0504D"/>
        </w:rPr>
      </w:pPr>
      <w:r>
        <w:drawing>
          <wp:inline>
            <wp:extent cx="10698480" cy="3726953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10698480" cy="3726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4000000">
      <w:pPr>
        <w:ind/>
        <w:jc w:val="center"/>
        <w:rPr>
          <w:b w:val="1"/>
          <w:color w:val="C0504D"/>
        </w:rPr>
      </w:pPr>
    </w:p>
    <w:p w14:paraId="D5000000">
      <w:pPr>
        <w:ind/>
        <w:jc w:val="center"/>
        <w:rPr>
          <w:b w:val="1"/>
          <w:color w:val="C0504D"/>
        </w:rPr>
      </w:pPr>
    </w:p>
    <w:sectPr>
      <w:pgSz w:h="11908" w:orient="landscape" w:w="16848"/>
      <w:pgMar w:bottom="0" w:left="0" w:right="0" w:top="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fontTable.xml" Type="http://schemas.openxmlformats.org/officeDocument/2006/relationships/fontTable"/>
  <Relationship Id="rId11" Target="media/11.png" Type="http://schemas.openxmlformats.org/officeDocument/2006/relationships/image"/>
  <Relationship Id="rId18" Target="theme/theme1.xml" Type="http://schemas.openxmlformats.org/officeDocument/2006/relationships/theme"/>
  <Relationship Id="rId17" Target="webSettings.xml" Type="http://schemas.openxmlformats.org/officeDocument/2006/relationships/webSettings"/>
  <Relationship Id="rId10" Target="media/10.png" Type="http://schemas.openxmlformats.org/officeDocument/2006/relationships/image"/>
  <Relationship Id="rId15" Target="styles.xml" Type="http://schemas.openxmlformats.org/officeDocument/2006/relationships/styles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settings.xml" Type="http://schemas.openxmlformats.org/officeDocument/2006/relationships/setting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stylesWithEffects.xml" Type="http://schemas.microsoft.com/office/2007/relationships/stylesWithEffects"/>
  <Relationship Id="rId12" Target="media/12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2023-06-15T14:39:33Z</dcterms:modified>
</cp:coreProperties>
</file>