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Weekly Report for Week Ending 4/24/2015</w:t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NICTA (National Information Communications Technology Australia)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Ted Friedman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Eric Krenz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Sean Luthjohn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Jordan Steffan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Kept building SQL queries to format the Victoria data to resemble the New South Wales data. 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solid progress on the formatting of the Victoria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most of our questions regarding the data answered by Dr. Avazpour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Hopefully found closure on our issues with Geoserver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Haven’t finished all of the SQL queries as hoped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Accomplishments vs.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queries for organizing the Victoria data to resemble the New South Wales data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 - had to get more information for some of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queries for organizing the Victoria data to resemble the New South Wales data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vertAlign w:val="baseline"/>
        </w:rPr>
      </w:pPr>
      <w:r w:rsidDel="00000000" w:rsidR="00000000" w:rsidRPr="00000000">
        <w:rPr>
          <w:rtl w:val="0"/>
        </w:rPr>
        <w:t xml:space="preserve">Join data to New South Wales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on finishing queries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Factor in the weights to receive our weighted values.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oiksu0fb0u55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 Finish Semester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queries for formatting Victoria data to resemble New South Wales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“equations” for queries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 Victoria table to New South Wales table in 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Export joined table into a CSV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location data to combined CSV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Divide complete CSV into KML files compatible with the National Map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55.0" w:type="dxa"/>
        <w:jc w:val="left"/>
        <w:tblLayout w:type="fixed"/>
        <w:tblLook w:val="0000"/>
      </w:tblPr>
      <w:tblGrid>
        <w:gridCol w:w="580"/>
        <w:gridCol w:w="1095"/>
        <w:gridCol w:w="156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95"/>
            <w:gridCol w:w="156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Available,but not moved to it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Need decision in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10%/Low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are forking a copy of the national map that we can update as we test. It seems the formats should be set well enough so this has less chance of occurring.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 constraints may be an issue nearing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finish all our requirements by the end of the semeseter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will put in extra work and effort finishing the project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bookmarkStart w:colFirst="0" w:colLast="0" w:name="h.jhbrgda1u2g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80"/>
        <w:gridCol w:w="1995"/>
        <w:gridCol w:w="870"/>
        <w:gridCol w:w="1245"/>
        <w:gridCol w:w="3000"/>
        <w:gridCol w:w="3640"/>
        <w:tblGridChange w:id="0">
          <w:tblGrid>
            <w:gridCol w:w="580"/>
            <w:gridCol w:w="570"/>
            <w:gridCol w:w="1080"/>
            <w:gridCol w:w="1995"/>
            <w:gridCol w:w="870"/>
            <w:gridCol w:w="1245"/>
            <w:gridCol w:w="300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start learning how to use the tool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Postgres</w:t>
            </w:r>
          </w:p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Post-GIS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slightly depending on the rate at which we learn this.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process begins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Setting up PostgreSQL and Post_GIS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slightly slow us down as our data won’t be in the correct format for the map to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Research on how to properly set up a PostgreSQL database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On hold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method for debugging the map results in Chrome crashing consistently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Have to adjust method for debugging through the map code.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 Chrome developer tools more effectively or find an IDE that would allow for the debugging needed.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I007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On hold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PostgreSql table not working as expected. We expected the data would work properly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Affects our ability to get data uploaded to the map. We are unable to show our visualizations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 will try and get in touch with the engineer.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I008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Integrating New South Wales and Victoria data. Getting the Victoria data aggregated.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will take some thinking and may take time. We need to think of way to integrate the data. Also figure out the best method to aggregate Victoria.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Format Victoria to match NSW data, add location data, join them together, and separate into KML files for the map.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29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 and skill levels are adequate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