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42" w:rsidRDefault="00031D14" w:rsidP="00031D14">
      <w:pPr>
        <w:jc w:val="right"/>
        <w:rPr>
          <w:lang w:val="en-GB"/>
        </w:rPr>
      </w:pPr>
      <w:r w:rsidRPr="00F77B08">
        <w:rPr>
          <w:noProof/>
          <w:lang w:eastAsia="de-DE"/>
        </w:rPr>
        <w:drawing>
          <wp:inline distT="0" distB="0" distL="0" distR="0" wp14:anchorId="6E05F247" wp14:editId="752C8646">
            <wp:extent cx="1308330" cy="1231779"/>
            <wp:effectExtent l="0" t="0" r="635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9862" cy="12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08" w:rsidRPr="00156451" w:rsidRDefault="00F77B08" w:rsidP="00031D14">
      <w:pPr>
        <w:jc w:val="right"/>
      </w:pPr>
      <w:r w:rsidRPr="00156451">
        <w:t>15.7.2014</w:t>
      </w:r>
    </w:p>
    <w:p w:rsidR="003D28D2" w:rsidRPr="008E64C3" w:rsidRDefault="003D28D2" w:rsidP="00031D14">
      <w:pPr>
        <w:jc w:val="right"/>
      </w:pPr>
      <w:r w:rsidRPr="008E64C3">
        <w:t>Volker Coors</w:t>
      </w:r>
      <w:r w:rsidR="008E64C3" w:rsidRPr="008E64C3">
        <w:t xml:space="preserve"> (</w:t>
      </w:r>
      <w:r w:rsidR="008E64C3">
        <w:t>volker.coors@hft-stuttgart.de)</w:t>
      </w:r>
      <w:r w:rsidRPr="008E64C3">
        <w:t>, Volker Kraut</w:t>
      </w:r>
      <w:r w:rsidR="008E64C3">
        <w:t xml:space="preserve"> (vkraut@moss.de)</w:t>
      </w:r>
    </w:p>
    <w:p w:rsidR="00031D14" w:rsidRPr="00F77B08" w:rsidRDefault="00031D14" w:rsidP="00031D14">
      <w:pPr>
        <w:rPr>
          <w:b/>
          <w:sz w:val="28"/>
          <w:szCs w:val="28"/>
          <w:lang w:val="en-GB"/>
        </w:rPr>
      </w:pPr>
      <w:r w:rsidRPr="00F77B08">
        <w:rPr>
          <w:b/>
          <w:sz w:val="28"/>
          <w:szCs w:val="28"/>
          <w:lang w:val="en-GB"/>
        </w:rPr>
        <w:t xml:space="preserve">Requirements for the </w:t>
      </w:r>
      <w:proofErr w:type="spellStart"/>
      <w:r w:rsidRPr="00F77B08">
        <w:rPr>
          <w:b/>
          <w:sz w:val="28"/>
          <w:szCs w:val="28"/>
          <w:lang w:val="en-GB"/>
        </w:rPr>
        <w:t>CityGML</w:t>
      </w:r>
      <w:proofErr w:type="spellEnd"/>
      <w:r w:rsidRPr="00F77B08">
        <w:rPr>
          <w:b/>
          <w:sz w:val="28"/>
          <w:szCs w:val="28"/>
          <w:lang w:val="en-GB"/>
        </w:rPr>
        <w:t xml:space="preserve"> </w:t>
      </w:r>
      <w:proofErr w:type="spellStart"/>
      <w:r w:rsidRPr="00F77B08">
        <w:rPr>
          <w:b/>
          <w:sz w:val="28"/>
          <w:szCs w:val="28"/>
          <w:lang w:val="en-GB"/>
        </w:rPr>
        <w:t>LoD</w:t>
      </w:r>
      <w:proofErr w:type="spellEnd"/>
      <w:r w:rsidRPr="00F77B08">
        <w:rPr>
          <w:b/>
          <w:sz w:val="28"/>
          <w:szCs w:val="28"/>
          <w:lang w:val="en-GB"/>
        </w:rPr>
        <w:t xml:space="preserve"> concept from the perspective of ene</w:t>
      </w:r>
      <w:r w:rsidR="008E64C3">
        <w:rPr>
          <w:b/>
          <w:sz w:val="28"/>
          <w:szCs w:val="28"/>
          <w:lang w:val="en-GB"/>
        </w:rPr>
        <w:t xml:space="preserve">rgy analysis on regional scale based on experiences in project </w:t>
      </w:r>
      <w:proofErr w:type="spellStart"/>
      <w:r w:rsidR="008E64C3">
        <w:rPr>
          <w:b/>
          <w:sz w:val="28"/>
          <w:szCs w:val="28"/>
          <w:lang w:val="en-GB"/>
        </w:rPr>
        <w:t>SimStadt</w:t>
      </w:r>
      <w:proofErr w:type="spellEnd"/>
    </w:p>
    <w:p w:rsidR="00031D14" w:rsidRPr="00F77B08" w:rsidRDefault="00F77B08">
      <w:pPr>
        <w:rPr>
          <w:b/>
          <w:lang w:val="en-GB"/>
        </w:rPr>
      </w:pPr>
      <w:r w:rsidRPr="00F77B08">
        <w:rPr>
          <w:b/>
          <w:lang w:val="en-GB"/>
        </w:rPr>
        <w:t>Project partners</w:t>
      </w:r>
      <w:r w:rsidR="00031D14" w:rsidRPr="00F77B08">
        <w:rPr>
          <w:b/>
          <w:lang w:val="en-GB"/>
        </w:rPr>
        <w:t>:</w:t>
      </w:r>
    </w:p>
    <w:p w:rsidR="00031D14" w:rsidRPr="004356D8" w:rsidRDefault="00031D14" w:rsidP="00031D14">
      <w:pPr>
        <w:pStyle w:val="Listenabsatz"/>
        <w:numPr>
          <w:ilvl w:val="0"/>
          <w:numId w:val="1"/>
        </w:numPr>
      </w:pPr>
      <w:r w:rsidRPr="004356D8">
        <w:t xml:space="preserve">HFT Stuttgart – Institute für Bauphysik, erneuerbare Energietechnik, Geoinformatik und Softwareentwicklung. </w:t>
      </w:r>
    </w:p>
    <w:p w:rsidR="00031D14" w:rsidRPr="004356D8" w:rsidRDefault="00031D14" w:rsidP="00031D14">
      <w:pPr>
        <w:pStyle w:val="Listenabsatz"/>
        <w:numPr>
          <w:ilvl w:val="0"/>
          <w:numId w:val="1"/>
        </w:numPr>
      </w:pPr>
      <w:r w:rsidRPr="004356D8">
        <w:t>M.O.S.S. Computer Graphik Systeme</w:t>
      </w:r>
    </w:p>
    <w:p w:rsidR="00031D14" w:rsidRPr="00F77B08" w:rsidRDefault="00031D14" w:rsidP="00031D14">
      <w:pPr>
        <w:pStyle w:val="Listenabsatz"/>
        <w:numPr>
          <w:ilvl w:val="0"/>
          <w:numId w:val="1"/>
        </w:numPr>
        <w:rPr>
          <w:lang w:val="en-GB"/>
        </w:rPr>
      </w:pPr>
      <w:r w:rsidRPr="00F77B08">
        <w:rPr>
          <w:lang w:val="en-GB"/>
        </w:rPr>
        <w:t xml:space="preserve">GEF </w:t>
      </w:r>
      <w:proofErr w:type="spellStart"/>
      <w:r w:rsidRPr="00F77B08">
        <w:rPr>
          <w:lang w:val="en-GB"/>
        </w:rPr>
        <w:t>Ingenieur</w:t>
      </w:r>
      <w:proofErr w:type="spellEnd"/>
      <w:r w:rsidRPr="00F77B08">
        <w:rPr>
          <w:lang w:val="en-GB"/>
        </w:rPr>
        <w:t xml:space="preserve"> AG</w:t>
      </w:r>
    </w:p>
    <w:p w:rsidR="00156451" w:rsidRPr="00156451" w:rsidRDefault="00F77B08">
      <w:pPr>
        <w:rPr>
          <w:b/>
          <w:lang w:val="en-GB"/>
        </w:rPr>
      </w:pPr>
      <w:r w:rsidRPr="00F77B08">
        <w:rPr>
          <w:b/>
          <w:lang w:val="en-GB"/>
        </w:rPr>
        <w:t xml:space="preserve">Scope of the </w:t>
      </w:r>
      <w:proofErr w:type="spellStart"/>
      <w:r w:rsidRPr="00F77B08">
        <w:rPr>
          <w:b/>
          <w:lang w:val="en-GB"/>
        </w:rPr>
        <w:t>project</w:t>
      </w:r>
      <w:proofErr w:type="gramStart"/>
      <w:r w:rsidRPr="00F77B08">
        <w:rPr>
          <w:b/>
          <w:lang w:val="en-GB"/>
        </w:rPr>
        <w:t>:</w:t>
      </w:r>
      <w:r>
        <w:rPr>
          <w:lang w:val="en-GB"/>
        </w:rPr>
        <w:t>To</w:t>
      </w:r>
      <w:proofErr w:type="spellEnd"/>
      <w:proofErr w:type="gramEnd"/>
      <w:r>
        <w:rPr>
          <w:lang w:val="en-GB"/>
        </w:rPr>
        <w:t xml:space="preserve"> </w:t>
      </w:r>
      <w:r w:rsidR="004356D8">
        <w:rPr>
          <w:lang w:val="en-GB"/>
        </w:rPr>
        <w:t xml:space="preserve">test and </w:t>
      </w:r>
      <w:r>
        <w:rPr>
          <w:lang w:val="en-GB"/>
        </w:rPr>
        <w:t>establish CityGML as a</w:t>
      </w:r>
      <w:r w:rsidR="004356D8">
        <w:rPr>
          <w:lang w:val="en-GB"/>
        </w:rPr>
        <w:t>n</w:t>
      </w:r>
      <w:r>
        <w:rPr>
          <w:lang w:val="en-GB"/>
        </w:rPr>
        <w:t xml:space="preserve"> exchange file format for energy simulation</w:t>
      </w:r>
      <w:r w:rsidR="005C68A9">
        <w:rPr>
          <w:lang w:val="en-GB"/>
        </w:rPr>
        <w:t>s</w:t>
      </w:r>
      <w:r>
        <w:rPr>
          <w:lang w:val="en-GB"/>
        </w:rPr>
        <w:t xml:space="preserve">. </w:t>
      </w:r>
      <w:r w:rsidR="004356D8">
        <w:rPr>
          <w:lang w:val="en-GB"/>
        </w:rPr>
        <w:t>We are working with simulations for heating demand, heat distribution networks and solar potential analysis.</w:t>
      </w:r>
      <w:r w:rsidR="00156451">
        <w:rPr>
          <w:lang w:val="en-GB"/>
        </w:rPr>
        <w:t xml:space="preserve"> For more details see</w:t>
      </w:r>
      <w:r w:rsidR="00156451">
        <w:rPr>
          <w:b/>
          <w:lang w:val="en-GB"/>
        </w:rPr>
        <w:t xml:space="preserve"> </w:t>
      </w:r>
      <w:r w:rsidR="00156451" w:rsidRPr="00156451">
        <w:rPr>
          <w:lang w:val="en-GB"/>
        </w:rPr>
        <w:t>http://simstadt.eu/de/index.html</w:t>
      </w:r>
    </w:p>
    <w:p w:rsidR="004356D8" w:rsidRPr="004356D8" w:rsidRDefault="004356D8">
      <w:pPr>
        <w:rPr>
          <w:b/>
          <w:lang w:val="en-GB"/>
        </w:rPr>
      </w:pPr>
      <w:r w:rsidRPr="004356D8">
        <w:rPr>
          <w:b/>
          <w:lang w:val="en-GB"/>
        </w:rPr>
        <w:t xml:space="preserve">CityGML – Usage and deficits concerning the </w:t>
      </w:r>
      <w:proofErr w:type="spellStart"/>
      <w:r w:rsidRPr="004356D8">
        <w:rPr>
          <w:b/>
          <w:lang w:val="en-GB"/>
        </w:rPr>
        <w:t>LoD</w:t>
      </w:r>
      <w:proofErr w:type="spellEnd"/>
      <w:r w:rsidRPr="004356D8">
        <w:rPr>
          <w:b/>
          <w:lang w:val="en-GB"/>
        </w:rPr>
        <w:t>-concept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57"/>
        <w:gridCol w:w="2303"/>
      </w:tblGrid>
      <w:tr w:rsidR="004356D8" w:rsidTr="004356D8">
        <w:tc>
          <w:tcPr>
            <w:tcW w:w="1242" w:type="dxa"/>
          </w:tcPr>
          <w:p w:rsidR="004356D8" w:rsidRPr="004356D8" w:rsidRDefault="004356D8">
            <w:pPr>
              <w:rPr>
                <w:b/>
                <w:lang w:val="en-GB"/>
              </w:rPr>
            </w:pPr>
            <w:r w:rsidRPr="004356D8">
              <w:rPr>
                <w:b/>
                <w:lang w:val="en-GB"/>
              </w:rPr>
              <w:t>LOD</w:t>
            </w:r>
          </w:p>
        </w:tc>
        <w:tc>
          <w:tcPr>
            <w:tcW w:w="2410" w:type="dxa"/>
          </w:tcPr>
          <w:p w:rsidR="004356D8" w:rsidRPr="004356D8" w:rsidRDefault="004356D8">
            <w:pPr>
              <w:rPr>
                <w:b/>
                <w:lang w:val="en-GB"/>
              </w:rPr>
            </w:pPr>
            <w:r w:rsidRPr="004356D8">
              <w:rPr>
                <w:b/>
                <w:lang w:val="en-GB"/>
              </w:rPr>
              <w:t>Usage</w:t>
            </w:r>
          </w:p>
        </w:tc>
        <w:tc>
          <w:tcPr>
            <w:tcW w:w="3257" w:type="dxa"/>
          </w:tcPr>
          <w:p w:rsidR="004356D8" w:rsidRPr="004356D8" w:rsidRDefault="004356D8">
            <w:pPr>
              <w:rPr>
                <w:b/>
                <w:lang w:val="en-GB"/>
              </w:rPr>
            </w:pPr>
            <w:r w:rsidRPr="004356D8">
              <w:rPr>
                <w:b/>
                <w:lang w:val="en-GB"/>
              </w:rPr>
              <w:t>Deficits</w:t>
            </w:r>
          </w:p>
        </w:tc>
        <w:tc>
          <w:tcPr>
            <w:tcW w:w="2303" w:type="dxa"/>
          </w:tcPr>
          <w:p w:rsidR="004356D8" w:rsidRPr="004356D8" w:rsidRDefault="004356D8">
            <w:pPr>
              <w:rPr>
                <w:b/>
                <w:lang w:val="en-GB"/>
              </w:rPr>
            </w:pPr>
            <w:r w:rsidRPr="004356D8">
              <w:rPr>
                <w:b/>
                <w:lang w:val="en-GB"/>
              </w:rPr>
              <w:t>Comments</w:t>
            </w:r>
          </w:p>
        </w:tc>
      </w:tr>
      <w:tr w:rsidR="004356D8" w:rsidTr="004356D8">
        <w:tc>
          <w:tcPr>
            <w:tcW w:w="1242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257" w:type="dxa"/>
          </w:tcPr>
          <w:p w:rsidR="004356D8" w:rsidRDefault="004356D8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4356D8" w:rsidRDefault="004356D8">
            <w:pPr>
              <w:rPr>
                <w:lang w:val="en-GB"/>
              </w:rPr>
            </w:pPr>
          </w:p>
        </w:tc>
      </w:tr>
      <w:tr w:rsidR="004356D8" w:rsidRPr="00156451" w:rsidTr="004356D8">
        <w:tc>
          <w:tcPr>
            <w:tcW w:w="1242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10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For simple and large scale simulations</w:t>
            </w:r>
          </w:p>
        </w:tc>
        <w:tc>
          <w:tcPr>
            <w:tcW w:w="3257" w:type="dxa"/>
          </w:tcPr>
          <w:p w:rsidR="004356D8" w:rsidRDefault="004356D8" w:rsidP="008E64C3">
            <w:pPr>
              <w:rPr>
                <w:lang w:val="en-GB"/>
              </w:rPr>
            </w:pPr>
            <w:r>
              <w:rPr>
                <w:lang w:val="en-GB"/>
              </w:rPr>
              <w:t>No boundary surfaces available</w:t>
            </w:r>
            <w:r w:rsidR="008E64C3">
              <w:rPr>
                <w:lang w:val="en-GB"/>
              </w:rPr>
              <w:t>. Therefore attributes can´t be attached to facades and also the orientation of the facade is harder to determine.</w:t>
            </w:r>
          </w:p>
        </w:tc>
        <w:tc>
          <w:tcPr>
            <w:tcW w:w="2303" w:type="dxa"/>
          </w:tcPr>
          <w:p w:rsidR="004356D8" w:rsidRDefault="004356D8">
            <w:pPr>
              <w:rPr>
                <w:lang w:val="en-GB"/>
              </w:rPr>
            </w:pPr>
          </w:p>
        </w:tc>
      </w:tr>
      <w:tr w:rsidR="004356D8" w:rsidRPr="00156451" w:rsidTr="004356D8">
        <w:tc>
          <w:tcPr>
            <w:tcW w:w="1242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10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For most of the simulations</w:t>
            </w:r>
          </w:p>
        </w:tc>
        <w:tc>
          <w:tcPr>
            <w:tcW w:w="3257" w:type="dxa"/>
          </w:tcPr>
          <w:p w:rsidR="004356D8" w:rsidRDefault="004356D8" w:rsidP="008E64C3">
            <w:pPr>
              <w:ind w:left="-43"/>
              <w:rPr>
                <w:lang w:val="en-GB"/>
              </w:rPr>
            </w:pPr>
            <w:r w:rsidRPr="008E64C3">
              <w:rPr>
                <w:lang w:val="en-GB"/>
              </w:rPr>
              <w:t>A simple indoor model would be helpful to separate buildings in volumes of different usage</w:t>
            </w:r>
            <w:bookmarkStart w:id="0" w:name="_GoBack"/>
            <w:bookmarkEnd w:id="0"/>
            <w:r w:rsidRPr="008E64C3">
              <w:rPr>
                <w:lang w:val="en-GB"/>
              </w:rPr>
              <w:t>.</w:t>
            </w:r>
          </w:p>
          <w:p w:rsidR="008E64C3" w:rsidRDefault="008E64C3" w:rsidP="008E64C3">
            <w:pPr>
              <w:ind w:left="-43"/>
              <w:rPr>
                <w:lang w:val="en-GB"/>
              </w:rPr>
            </w:pPr>
          </w:p>
          <w:p w:rsidR="005C68A9" w:rsidRPr="005C68A9" w:rsidRDefault="005C68A9" w:rsidP="008E64C3">
            <w:pPr>
              <w:ind w:left="-43"/>
              <w:rPr>
                <w:color w:val="000000"/>
                <w:lang w:val="en-US"/>
              </w:rPr>
            </w:pPr>
            <w:r>
              <w:rPr>
                <w:lang w:val="en-GB"/>
              </w:rPr>
              <w:t xml:space="preserve">Thereby </w:t>
            </w:r>
            <w:proofErr w:type="spellStart"/>
            <w:r w:rsidRPr="005C68A9">
              <w:rPr>
                <w:color w:val="000000"/>
                <w:lang w:val="en-US"/>
              </w:rPr>
              <w:t>BuildingFurniture</w:t>
            </w:r>
            <w:proofErr w:type="spellEnd"/>
            <w:r w:rsidRPr="005C68A9">
              <w:rPr>
                <w:color w:val="000000"/>
                <w:lang w:val="en-US"/>
              </w:rPr>
              <w:t xml:space="preserve"> &amp; </w:t>
            </w:r>
            <w:proofErr w:type="spellStart"/>
            <w:r w:rsidRPr="005C68A9">
              <w:rPr>
                <w:color w:val="000000"/>
                <w:lang w:val="en-US"/>
              </w:rPr>
              <w:t>IntBuildingInstallation</w:t>
            </w:r>
            <w:proofErr w:type="spellEnd"/>
            <w:r w:rsidRPr="005C68A9">
              <w:rPr>
                <w:color w:val="000000"/>
                <w:lang w:val="en-US"/>
              </w:rPr>
              <w:t xml:space="preserve"> wouldn´t be prohibited.</w:t>
            </w:r>
          </w:p>
          <w:p w:rsidR="005C68A9" w:rsidRPr="005C68A9" w:rsidRDefault="005C68A9" w:rsidP="008E64C3">
            <w:pPr>
              <w:ind w:left="-43"/>
              <w:rPr>
                <w:lang w:val="en-US"/>
              </w:rPr>
            </w:pPr>
          </w:p>
          <w:p w:rsidR="008E64C3" w:rsidRDefault="00156451" w:rsidP="00156451">
            <w:pPr>
              <w:ind w:left="-43"/>
              <w:rPr>
                <w:lang w:val="en-GB"/>
              </w:rPr>
            </w:pPr>
            <w:r>
              <w:rPr>
                <w:lang w:val="en-GB"/>
              </w:rPr>
              <w:t>Storeys would be helpful</w:t>
            </w:r>
          </w:p>
        </w:tc>
        <w:tc>
          <w:tcPr>
            <w:tcW w:w="2303" w:type="dxa"/>
          </w:tcPr>
          <w:p w:rsidR="004356D8" w:rsidRDefault="008E64C3">
            <w:pPr>
              <w:rPr>
                <w:lang w:val="en-GB"/>
              </w:rPr>
            </w:pPr>
            <w:r>
              <w:rPr>
                <w:lang w:val="en-GB"/>
              </w:rPr>
              <w:t>Apart from that well suited.</w:t>
            </w:r>
          </w:p>
        </w:tc>
      </w:tr>
      <w:tr w:rsidR="004356D8" w:rsidRPr="00156451" w:rsidTr="004356D8">
        <w:tc>
          <w:tcPr>
            <w:tcW w:w="1242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10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257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A simple indoor model would be helpful to separate buildings in volumes of different usage.</w:t>
            </w:r>
          </w:p>
        </w:tc>
        <w:tc>
          <w:tcPr>
            <w:tcW w:w="2303" w:type="dxa"/>
          </w:tcPr>
          <w:p w:rsidR="004356D8" w:rsidRDefault="008E64C3">
            <w:pPr>
              <w:rPr>
                <w:lang w:val="en-GB"/>
              </w:rPr>
            </w:pPr>
            <w:r>
              <w:rPr>
                <w:lang w:val="en-GB"/>
              </w:rPr>
              <w:t>For our purpose it is sufficient that openings are only available in LoD3</w:t>
            </w:r>
          </w:p>
        </w:tc>
      </w:tr>
      <w:tr w:rsidR="004356D8" w:rsidRPr="00156451" w:rsidTr="004356D8">
        <w:tc>
          <w:tcPr>
            <w:tcW w:w="1242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10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For detailed simulations of individual buildings</w:t>
            </w:r>
          </w:p>
        </w:tc>
        <w:tc>
          <w:tcPr>
            <w:tcW w:w="3257" w:type="dxa"/>
          </w:tcPr>
          <w:p w:rsidR="004356D8" w:rsidRDefault="004356D8">
            <w:pPr>
              <w:rPr>
                <w:lang w:val="en-GB"/>
              </w:rPr>
            </w:pPr>
            <w:r>
              <w:rPr>
                <w:lang w:val="en-GB"/>
              </w:rPr>
              <w:t>Relationship to IFC-models not clearly defined</w:t>
            </w:r>
            <w:r w:rsidR="008E64C3">
              <w:rPr>
                <w:lang w:val="en-GB"/>
              </w:rPr>
              <w:t>.</w:t>
            </w:r>
          </w:p>
        </w:tc>
        <w:tc>
          <w:tcPr>
            <w:tcW w:w="2303" w:type="dxa"/>
          </w:tcPr>
          <w:p w:rsidR="004356D8" w:rsidRDefault="004356D8" w:rsidP="00156451">
            <w:pPr>
              <w:rPr>
                <w:lang w:val="en-GB"/>
              </w:rPr>
            </w:pPr>
            <w:r>
              <w:rPr>
                <w:lang w:val="en-GB"/>
              </w:rPr>
              <w:t>At the moment IFC models are used</w:t>
            </w:r>
            <w:r w:rsidR="00156451">
              <w:rPr>
                <w:lang w:val="en-GB"/>
              </w:rPr>
              <w:t>.</w:t>
            </w:r>
          </w:p>
        </w:tc>
      </w:tr>
    </w:tbl>
    <w:p w:rsidR="00F77B08" w:rsidRDefault="00F77B08">
      <w:pPr>
        <w:rPr>
          <w:lang w:val="en-GB"/>
        </w:rPr>
      </w:pPr>
    </w:p>
    <w:sectPr w:rsidR="00F77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20D"/>
    <w:multiLevelType w:val="hybridMultilevel"/>
    <w:tmpl w:val="A78A0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74CBB"/>
    <w:multiLevelType w:val="hybridMultilevel"/>
    <w:tmpl w:val="EB409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14"/>
    <w:rsid w:val="00031D14"/>
    <w:rsid w:val="00156451"/>
    <w:rsid w:val="003D28D2"/>
    <w:rsid w:val="004356D8"/>
    <w:rsid w:val="005C68A9"/>
    <w:rsid w:val="007A1D42"/>
    <w:rsid w:val="008E64C3"/>
    <w:rsid w:val="00F77B08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31D14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1D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1D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43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31D14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1D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1D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43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M.O.S.S. GmbH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 Kraut</dc:creator>
  <cp:lastModifiedBy>Volker Coors</cp:lastModifiedBy>
  <cp:revision>3</cp:revision>
  <dcterms:created xsi:type="dcterms:W3CDTF">2014-07-22T17:39:00Z</dcterms:created>
  <dcterms:modified xsi:type="dcterms:W3CDTF">2014-07-22T17:44:00Z</dcterms:modified>
</cp:coreProperties>
</file>