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восьмой лабораторной работы - рассмотреть модель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0.00064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##Модель конкуренции.</w:t>
      </w:r>
    </w:p>
    <w:p>
      <w:pPr>
        <w:pStyle w:val="BodyText"/>
      </w:pPr>
      <w:r>
        <w:t xml:space="preserve">###Модель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</m:t>
          </m:r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2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3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4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5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6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r>
                <m:t>δ</m:t>
              </m:r>
              <m:r>
                <m:t>p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7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8</m:t>
          </m:r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9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odyText"/>
      </w:pPr>
      <w:r>
        <w:t xml:space="preserve">###Конкуренция двух фирм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10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11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12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13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14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15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16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17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Чтобы решить систему, необходимо знать начальные условия. Зададим начальные значения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и известные параметры: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q</m:t>
        </m:r>
      </m:oMath>
    </w:p>
    <w:bookmarkEnd w:id="22"/>
    <w:bookmarkStart w:id="23" w:name="вариант-выполненой-работы"/>
    <w:p>
      <w:pPr>
        <w:pStyle w:val="Heading2"/>
      </w:pPr>
      <w:r>
        <w:t xml:space="preserve">Вариант выполненой работы</w:t>
      </w:r>
    </w:p>
    <w:p>
      <w:pPr>
        <w:pStyle w:val="FirstParagraph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6.1</m:t>
        </m:r>
      </m:oMath>
      <w:r>
        <w:t xml:space="preserve"> </w:t>
      </w:r>
      <w:r>
        <w:t xml:space="preserve">— оборотные средства фирмы 1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4.5</m:t>
        </m:r>
      </m:oMath>
      <w:r>
        <w:t xml:space="preserve"> </w:t>
      </w:r>
      <w:r>
        <w:t xml:space="preserve">— оборотные средства фирмы 2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31</m:t>
        </m:r>
      </m:oMath>
      <w:r>
        <w:t xml:space="preserve"> </w:t>
      </w:r>
      <w:r>
        <w:t xml:space="preserve">— критическая стоимость продукта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— число потребителей производимого продукта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— длительность производственного цикла фирмы 1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— длительность производственного цикла фирмы 2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9.7</m:t>
        </m:r>
      </m:oMath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8.4</m:t>
        </m:r>
      </m:oMath>
      <w:r>
        <w:t xml:space="preserve"> </w:t>
      </w:r>
      <w:r>
        <w:t xml:space="preserve">— себестоимость продукта у фирмы 2</w:t>
      </w:r>
    </w:p>
    <w:bookmarkEnd w:id="23"/>
    <w:bookmarkStart w:id="44" w:name="выполнение-работы-на-языке-python"/>
    <w:p>
      <w:pPr>
        <w:pStyle w:val="Heading2"/>
      </w:pPr>
      <w:r>
        <w:t xml:space="preserve">Выполнение работы на языке Python</w:t>
      </w:r>
    </w:p>
    <w:p>
      <w:pPr>
        <w:numPr>
          <w:ilvl w:val="0"/>
          <w:numId w:val="1004"/>
        </w:numPr>
        <w:pStyle w:val="Compact"/>
      </w:pPr>
      <w:r>
        <w:t xml:space="preserve">Зададим начальные условия (рис. 1).</w:t>
      </w:r>
    </w:p>
    <w:p>
      <w:pPr>
        <w:pStyle w:val="CaptionedFigure"/>
      </w:pPr>
      <w:bookmarkStart w:id="25" w:name="fig:001"/>
      <w:r>
        <w:drawing>
          <wp:inline>
            <wp:extent cx="5334000" cy="1893853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Начальные условия</w:t>
      </w:r>
    </w:p>
    <w:p>
      <w:pPr>
        <w:numPr>
          <w:ilvl w:val="0"/>
          <w:numId w:val="1005"/>
        </w:numPr>
        <w:pStyle w:val="Compact"/>
      </w:pPr>
      <w:r>
        <w:t xml:space="preserve">Посчитаем коэфиценты для уровнений (рис. 2).</w:t>
      </w:r>
    </w:p>
    <w:p>
      <w:pPr>
        <w:pStyle w:val="CaptionedFigure"/>
      </w:pPr>
      <w:bookmarkStart w:id="27" w:name="fig:002"/>
      <w:r>
        <w:drawing>
          <wp:inline>
            <wp:extent cx="3911173" cy="1429230"/>
            <wp:effectExtent b="0" l="0" r="0" t="0"/>
            <wp:docPr descr="Figure 2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Начальные условия</w:t>
      </w:r>
    </w:p>
    <w:p>
      <w:pPr>
        <w:numPr>
          <w:ilvl w:val="0"/>
          <w:numId w:val="1006"/>
        </w:numPr>
        <w:pStyle w:val="Compact"/>
      </w:pPr>
      <w:r>
        <w:t xml:space="preserve">Посчитаем стационарные точки (рис. 3).</w:t>
      </w:r>
    </w:p>
    <w:p>
      <w:pPr>
        <w:pStyle w:val="CaptionedFigure"/>
      </w:pPr>
      <w:bookmarkStart w:id="29" w:name="fig:003"/>
      <w:r>
        <w:drawing>
          <wp:inline>
            <wp:extent cx="3442447" cy="699247"/>
            <wp:effectExtent b="0" l="0" r="0" t="0"/>
            <wp:docPr descr="Figure 3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Начальные условия</w:t>
      </w:r>
    </w:p>
    <w:p>
      <w:pPr>
        <w:numPr>
          <w:ilvl w:val="0"/>
          <w:numId w:val="1007"/>
        </w:numPr>
        <w:pStyle w:val="Compact"/>
      </w:pPr>
      <w:r>
        <w:t xml:space="preserve">Составим функции для первого случая (рис. 4).</w:t>
      </w:r>
    </w:p>
    <w:p>
      <w:pPr>
        <w:pStyle w:val="CaptionedFigure"/>
      </w:pPr>
      <w:bookmarkStart w:id="31" w:name="fig:004"/>
      <w:r>
        <w:drawing>
          <wp:inline>
            <wp:extent cx="4618104" cy="1045028"/>
            <wp:effectExtent b="0" l="0" r="0" t="0"/>
            <wp:docPr descr="Figure 4: Функции, случай 1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Функции, случай 1</w:t>
      </w:r>
    </w:p>
    <w:p>
      <w:pPr>
        <w:numPr>
          <w:ilvl w:val="0"/>
          <w:numId w:val="1008"/>
        </w:numPr>
        <w:pStyle w:val="Compact"/>
      </w:pPr>
      <w:r>
        <w:t xml:space="preserve">Составим функции для второго случая (рис. 5).</w:t>
      </w:r>
    </w:p>
    <w:p>
      <w:pPr>
        <w:pStyle w:val="CaptionedFigure"/>
      </w:pPr>
      <w:bookmarkStart w:id="33" w:name="fig:005"/>
      <w:r>
        <w:drawing>
          <wp:inline>
            <wp:extent cx="4533579" cy="1075764"/>
            <wp:effectExtent b="0" l="0" r="0" t="0"/>
            <wp:docPr descr="Figure 5: Функции, случай 2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Функции, случай 2</w:t>
      </w:r>
    </w:p>
    <w:p>
      <w:pPr>
        <w:numPr>
          <w:ilvl w:val="0"/>
          <w:numId w:val="1009"/>
        </w:numPr>
        <w:pStyle w:val="Compact"/>
      </w:pPr>
      <w:r>
        <w:t xml:space="preserve">Зададим интервал и шаг для решения задачи (рис. 6).</w:t>
      </w:r>
    </w:p>
    <w:p>
      <w:pPr>
        <w:pStyle w:val="CaptionedFigure"/>
      </w:pPr>
      <w:bookmarkStart w:id="35" w:name="fig:006"/>
      <w:r>
        <w:drawing>
          <wp:inline>
            <wp:extent cx="1882588" cy="268941"/>
            <wp:effectExtent b="0" l="0" r="0" t="0"/>
            <wp:docPr descr="Figure 6: Функции, случай 2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Функции, случай 2</w:t>
      </w:r>
    </w:p>
    <w:p>
      <w:pPr>
        <w:numPr>
          <w:ilvl w:val="0"/>
          <w:numId w:val="1010"/>
        </w:numPr>
        <w:pStyle w:val="Compact"/>
      </w:pPr>
      <w:r>
        <w:t xml:space="preserve">Зададим начальное значение объема оборотных средств x1 и х2 (рис. 7).</w:t>
      </w:r>
    </w:p>
    <w:p>
      <w:pPr>
        <w:pStyle w:val="CaptionedFigure"/>
      </w:pPr>
      <w:bookmarkStart w:id="37" w:name="fig:007"/>
      <w:r>
        <w:drawing>
          <wp:inline>
            <wp:extent cx="4341478" cy="591670"/>
            <wp:effectExtent b="0" l="0" r="0" t="0"/>
            <wp:docPr descr="Figure 7: Начальное значение объема оборотных средств x1 и х2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Начальное значение объема оборотных средств x1 и х2</w:t>
      </w:r>
    </w:p>
    <w:p>
      <w:pPr>
        <w:numPr>
          <w:ilvl w:val="0"/>
          <w:numId w:val="1011"/>
        </w:numPr>
        <w:pStyle w:val="Compact"/>
      </w:pPr>
      <w:r>
        <w:t xml:space="preserve">Построим массивы решений для двух случаев (рис. 8).</w:t>
      </w:r>
    </w:p>
    <w:p>
      <w:pPr>
        <w:pStyle w:val="CaptionedFigure"/>
      </w:pPr>
      <w:bookmarkStart w:id="39" w:name="fig:008"/>
      <w:r>
        <w:drawing>
          <wp:inline>
            <wp:extent cx="2067005" cy="399569"/>
            <wp:effectExtent b="0" l="0" r="0" t="0"/>
            <wp:docPr descr="Figure 8: Массивы решений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5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Массивы решений</w:t>
      </w:r>
    </w:p>
    <w:p>
      <w:pPr>
        <w:numPr>
          <w:ilvl w:val="0"/>
          <w:numId w:val="1012"/>
        </w:numPr>
        <w:pStyle w:val="Compact"/>
      </w:pPr>
      <w:r>
        <w:t xml:space="preserve">Построим график динамики изменения оборотных средств фирмы 1 и фирмы 2. Случай 1 (рис. 9).</w:t>
      </w:r>
    </w:p>
    <w:p>
      <w:pPr>
        <w:pStyle w:val="CaptionedFigure"/>
      </w:pPr>
      <w:bookmarkStart w:id="41" w:name="fig:009"/>
      <w:r>
        <w:drawing>
          <wp:inline>
            <wp:extent cx="5334000" cy="3056714"/>
            <wp:effectExtent b="0" l="0" r="0" t="0"/>
            <wp:docPr descr="Figure 9: Случай 1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Случай 1</w:t>
      </w:r>
    </w:p>
    <w:p>
      <w:pPr>
        <w:numPr>
          <w:ilvl w:val="0"/>
          <w:numId w:val="1013"/>
        </w:numPr>
        <w:pStyle w:val="Compact"/>
      </w:pPr>
      <w:r>
        <w:t xml:space="preserve">Построим график динамики изменения оборотных средств фирмы 1 и фирмы 2. Случай 1 (рис. 10).</w:t>
      </w:r>
    </w:p>
    <w:p>
      <w:pPr>
        <w:pStyle w:val="CaptionedFigure"/>
      </w:pPr>
      <w:bookmarkStart w:id="43" w:name="fig:010"/>
      <w:r>
        <w:drawing>
          <wp:inline>
            <wp:extent cx="5334000" cy="2822327"/>
            <wp:effectExtent b="0" l="0" r="0" t="0"/>
            <wp:docPr descr="Figure 10: Случай 1" title="" id="1" name="Picture"/>
            <a:graphic>
              <a:graphicData uri="http://schemas.openxmlformats.org/drawingml/2006/picture">
                <pic:pic>
                  <pic:nvPicPr>
                    <pic:cNvPr descr="image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Случай 1</w:t>
      </w:r>
    </w:p>
    <w:bookmarkEnd w:id="44"/>
    <w:bookmarkStart w:id="45" w:name="выводы"/>
    <w:p>
      <w:pPr>
        <w:pStyle w:val="Heading2"/>
      </w:pPr>
      <w:r>
        <w:t xml:space="preserve">Выводы</w:t>
      </w:r>
    </w:p>
    <w:p>
      <w:pPr>
        <w:numPr>
          <w:ilvl w:val="0"/>
          <w:numId w:val="1014"/>
        </w:numPr>
      </w:pPr>
      <w:r>
        <w:t xml:space="preserve">Рассмотрел модель конкуренции двух фирм в разных случаях.</w:t>
      </w:r>
    </w:p>
    <w:p>
      <w:pPr>
        <w:numPr>
          <w:ilvl w:val="0"/>
          <w:numId w:val="1014"/>
        </w:numPr>
      </w:pPr>
      <w:r>
        <w:t xml:space="preserve">Построил графики изменения оборотных средств фирмы 1 и фирмы 2 без учета постоянных издержек и с веденной нормировкой.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Федотов Дмитрий Константинович</dc:creator>
  <dc:language>ru-RU</dc:language>
  <cp:keywords/>
  <dcterms:created xsi:type="dcterms:W3CDTF">2021-04-03T17:20:57Z</dcterms:created>
  <dcterms:modified xsi:type="dcterms:W3CDTF">2021-04-03T17:20:57Z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