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2D3748"/>
          <w:sz w:val="56"/>
          <w:szCs w:val="56"/>
        </w:rPr>
        <w:t xml:space="preserve">Conveo</w:t>
      </w:r>
    </w:p>
    <w:p>
      <w:pPr>
        <w:spacing w:after="40"/>
      </w:pPr>
      <w:r>
        <w:rPr>
          <w:rFonts w:ascii="Calibri" w:cs="Calibri" w:eastAsia="Calibri" w:hAnsi="Calibri"/>
          <w:color w:val="4A5568"/>
          <w:spacing w:val="120"/>
          <w:sz w:val="20"/>
          <w:szCs w:val="20"/>
        </w:rPr>
        <w:t xml:space="preserve">VENDOR EVALUATION REPORT</w:t>
      </w:r>
    </w:p>
    <w:p>
      <w:pPr>
        <w:spacing w:after="40"/>
      </w:pPr>
      <w:r>
        <w:rPr>
          <w:rFonts w:ascii="Calibri" w:cs="Calibri" w:eastAsia="Calibri" w:hAnsi="Calibri"/>
          <w:color w:val="4A5568"/>
          <w:sz w:val="22"/>
          <w:szCs w:val="22"/>
        </w:rPr>
        <w:t xml:space="preserve">AI Software</w:t>
      </w:r>
    </w:p>
    <w:p>
      <w:pPr>
        <w:spacing w:after="400"/>
      </w:pPr>
      <w:r>
        <w:rPr>
          <w:rFonts w:ascii="Calibri" w:cs="Calibri" w:eastAsia="Calibri" w:hAnsi="Calibri"/>
          <w:color w:val="4A5568"/>
          <w:sz w:val="18"/>
          <w:szCs w:val="18"/>
        </w:rPr>
        <w:t xml:space="preserve">Version 1.0  •  March 2026</w:t>
      </w:r>
    </w:p>
    <w:p>
      <w:pPr>
        <w:pBdr>
          <w:bottom w:val="single" w:color="E2E8F0" w:sz="6"/>
        </w:pBdr>
        <w:spacing w:after="300"/>
      </w:pPr>
    </w:p>
    <w:p>
      <w:pPr>
        <w:pStyle w:val="Heading1"/>
        <w:spacing w:before="200" w:after="200"/>
      </w:pPr>
      <w:r>
        <w:rPr>
          <w:rFonts w:ascii="Calibri" w:cs="Calibri" w:eastAsia="Calibri" w:hAnsi="Calibri"/>
          <w:b/>
          <w:bCs/>
          <w:color w:val="2D3748"/>
          <w:sz w:val="36"/>
          <w:szCs w:val="36"/>
        </w:rPr>
        <w:t xml:space="preserve">Executive Summary</w:t>
      </w:r>
    </w:p>
    <w:p>
      <w:pPr>
        <w:spacing w:after="100"/>
      </w:pPr>
      <w:r>
        <w:rPr>
          <w:rFonts w:ascii="Calibri" w:cs="Calibri" w:eastAsia="Calibri" w:hAnsi="Calibri"/>
          <w:b/>
          <w:bCs/>
          <w:color w:val="4A5568"/>
          <w:sz w:val="18"/>
          <w:szCs w:val="18"/>
        </w:rPr>
        <w:t xml:space="preserve">KEY TAKEAWAY</w:t>
      </w:r>
    </w:p>
    <w:p>
      <w:pPr>
        <w:spacing w:after="240"/>
      </w:pPr>
      <w:r>
        <w:rPr>
          <w:rFonts w:ascii="Calibri" w:cs="Calibri" w:eastAsia="Calibri" w:hAnsi="Calibri"/>
          <w:b/>
          <w:bCs/>
          <w:color w:val="2D3748"/>
          <w:sz w:val="24"/>
          <w:szCs w:val="24"/>
        </w:rPr>
        <w:t xml:space="preserve">Conveo solves a real problem in AI-powered qualitative research, but its complete opacity and zero customization create a classic black-box dependency—organizations gain speed at the direct cost of AI fluency and long-term flexibility.</w:t>
      </w:r>
    </w:p>
    <w:p>
      <w:pPr>
        <w:spacing w:after="200"/>
      </w:pPr>
      <w:r>
        <w:rPr>
          <w:rFonts w:ascii="Calibri" w:cs="Calibri" w:eastAsia="Calibri" w:hAnsi="Calibri"/>
          <w:color w:val="4A5568"/>
          <w:sz w:val="22"/>
          <w:szCs w:val="22"/>
        </w:rPr>
        <w:t xml:space="preserve">Conveo's strengths are narrow but real. It targets a specific, labor-intensive workflow—qualitative research analysis—and has credible customer adoption from recognizable brands like Unilever and Orange. Its integration of multimodal analysis via Gemini represents genuine technical capability, and its development velocity suggests an engineering team that is actively shipping. Raw data portability is reasonable: standard export formats like CSV, Excel, and WebVTT mean your underlying research assets aren't trapped. These are not trivial positives, particularly for research teams under time pressure who need to move from interviews to insights faster.</w:t>
      </w:r>
    </w:p>
    <w:p>
      <w:pPr>
        <w:spacing w:after="200"/>
      </w:pPr>
      <w:r>
        <w:rPr>
          <w:rFonts w:ascii="Calibri" w:cs="Calibri" w:eastAsia="Calibri" w:hAnsi="Calibri"/>
          <w:color w:val="4A5568"/>
          <w:sz w:val="22"/>
          <w:szCs w:val="22"/>
        </w:rPr>
        <w:t xml:space="preserve">The problems, however, are structural, not incidental. Conveo scores 'No' on three of six criteria—transparency, customization, and transferable learning—which together paint a picture of a vendor whose business model depends on keeping users away from the AI mechanics entirely. You cannot see the prompts, choose the models, adjust retrieval logic, or learn anything transferable about how AI processes qualitative data. The platform's own marketing language—'No expertise needed'—is the tell: this is positioned as a replacement for AI understanding, not a path toward it. The analytical outputs (themes, summaries, sentiment scores) are locked in proprietary formats, meaning the highest-value layer of the tool is the least portable. If Conveo's interpretation logic doesn't match your research standards, you have no lever to pull.</w:t>
      </w:r>
    </w:p>
    <w:p>
      <w:pPr>
        <w:spacing w:after="200"/>
      </w:pPr>
      <w:r>
        <w:rPr>
          <w:rFonts w:ascii="Calibri" w:cs="Calibri" w:eastAsia="Calibri" w:hAnsi="Calibri"/>
          <w:color w:val="4A5568"/>
          <w:sz w:val="22"/>
          <w:szCs w:val="22"/>
        </w:rPr>
        <w:t xml:space="preserve">For organizations that view AI as a capability to be developed across the enterprise, Conveo is a step backward—it centralizes AI judgment in a vendor's black box and builds no internal muscle. For organizations that view AI-powered qualitative research as a point solution to be purchased and consumed, and who are comfortable with that dependency, Conveo may deliver meaningful time savings. This tool suits research teams that need immediate throughput gains and have no mandate to build AI competency. It does not suit organizations that want their teams to understand, shape, or eventually own their AI-assisted research workflows.</w:t>
      </w:r>
    </w:p>
    <w:p>
      <w:pPr>
        <w:pStyle w:val="Heading1"/>
        <w:spacing w:before="400" w:after="200"/>
      </w:pPr>
      <w:r>
        <w:rPr>
          <w:rFonts w:ascii="Calibri" w:cs="Calibri" w:eastAsia="Calibri" w:hAnsi="Calibri"/>
          <w:b/>
          <w:bCs/>
          <w:color w:val="2D3748"/>
          <w:sz w:val="36"/>
          <w:szCs w:val="36"/>
        </w:rPr>
        <w:t xml:space="preserve">Evaluation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color="2D3748" w:val="solid"/>
          </w:tcPr>
          <w:p>
            <w:r>
              <w:rPr>
                <w:rFonts w:ascii="Calibri" w:cs="Calibri" w:eastAsia="Calibri" w:hAnsi="Calibri"/>
                <w:b/>
                <w:bCs/>
                <w:color w:val="FFFFFF"/>
                <w:sz w:val="20"/>
                <w:szCs w:val="20"/>
              </w:rPr>
              <w:t xml:space="preserve">Criterion</w:t>
            </w:r>
          </w:p>
        </w:tc>
        <w:tc>
          <w:tcPr>
            <w:tcW w:type="pct" w:w="25%"/>
            <w:shd w:color="2D3748" w:val="solid"/>
          </w:tcPr>
          <w:p>
            <w:r>
              <w:rPr>
                <w:rFonts w:ascii="Calibri" w:cs="Calibri" w:eastAsia="Calibri" w:hAnsi="Calibri"/>
                <w:b/>
                <w:bCs/>
                <w:color w:val="FFFFFF"/>
                <w:sz w:val="20"/>
                <w:szCs w:val="20"/>
              </w:rPr>
              <w:t xml:space="preserve">Focus Area</w:t>
            </w:r>
          </w:p>
        </w:tc>
        <w:tc>
          <w:tcPr>
            <w:tcW w:type="pct" w:w="25%"/>
            <w:shd w:color="2D3748" w:val="solid"/>
          </w:tcPr>
          <w:p>
            <w:pPr>
              <w:jc w:val="center"/>
            </w:pPr>
            <w:r>
              <w:rPr>
                <w:rFonts w:ascii="Calibri" w:cs="Calibri" w:eastAsia="Calibri" w:hAnsi="Calibri"/>
                <w:b/>
                <w:bCs/>
                <w:color w:val="FFFFFF"/>
                <w:sz w:val="20"/>
                <w:szCs w:val="20"/>
              </w:rPr>
              <w:t xml:space="preserve">Result</w:t>
            </w:r>
          </w:p>
        </w:tc>
      </w:tr>
      <w:tr>
        <w:tc>
          <w:tcPr>
            <w:shd w:color="FFFFFF" w:val="solid"/>
          </w:tcPr>
          <w:p>
            <w:r>
              <w:rPr>
                <w:rFonts w:ascii="Calibri" w:cs="Calibri" w:eastAsia="Calibri" w:hAnsi="Calibri"/>
                <w:b/>
                <w:bCs/>
                <w:color w:val="2D3748"/>
                <w:sz w:val="20"/>
                <w:szCs w:val="20"/>
              </w:rPr>
              <w:t xml:space="preserve">SEE</w:t>
            </w:r>
          </w:p>
        </w:tc>
        <w:tc>
          <w:tcPr>
            <w:shd w:color="FFFFFF" w:val="solid"/>
          </w:tcPr>
          <w:p>
            <w:r>
              <w:rPr>
                <w:rFonts w:ascii="Calibri" w:cs="Calibri" w:eastAsia="Calibri" w:hAnsi="Calibri"/>
                <w:color w:val="4A5568"/>
                <w:sz w:val="20"/>
                <w:szCs w:val="20"/>
              </w:rPr>
              <w:t xml:space="preserve">Transparency &amp; Visibility</w:t>
            </w:r>
          </w:p>
        </w:tc>
        <w:tc>
          <w:tcPr>
            <w:shd w:color="FFFFFF" w:val="solid"/>
          </w:tcPr>
          <w:p>
            <w:pPr>
              <w:jc w:val="center"/>
            </w:pPr>
            <w:r>
              <w:rPr>
                <w:rFonts w:ascii="Calibri" w:cs="Calibri" w:eastAsia="Calibri" w:hAnsi="Calibri"/>
                <w:b/>
                <w:bCs/>
                <w:color w:val="E53E3E"/>
                <w:sz w:val="20"/>
                <w:szCs w:val="20"/>
              </w:rPr>
              <w:t xml:space="preserve">Fail</w:t>
            </w:r>
          </w:p>
        </w:tc>
      </w:tr>
      <w:tr>
        <w:tc>
          <w:tcPr>
            <w:shd w:color="F7FAFC" w:val="solid"/>
          </w:tcPr>
          <w:p>
            <w:r>
              <w:rPr>
                <w:rFonts w:ascii="Calibri" w:cs="Calibri" w:eastAsia="Calibri" w:hAnsi="Calibri"/>
                <w:b/>
                <w:bCs/>
                <w:color w:val="2D3748"/>
                <w:sz w:val="20"/>
                <w:szCs w:val="20"/>
              </w:rPr>
              <w:t xml:space="preserve">CHANGE</w:t>
            </w:r>
          </w:p>
        </w:tc>
        <w:tc>
          <w:tcPr>
            <w:shd w:color="F7FAFC" w:val="solid"/>
          </w:tcPr>
          <w:p>
            <w:r>
              <w:rPr>
                <w:rFonts w:ascii="Calibri" w:cs="Calibri" w:eastAsia="Calibri" w:hAnsi="Calibri"/>
                <w:color w:val="4A5568"/>
                <w:sz w:val="20"/>
                <w:szCs w:val="20"/>
              </w:rPr>
              <w:t xml:space="preserve">Customizability &amp; Control</w:t>
            </w:r>
          </w:p>
        </w:tc>
        <w:tc>
          <w:tcPr>
            <w:shd w:color="F7FAFC" w:val="solid"/>
          </w:tcPr>
          <w:p>
            <w:pPr>
              <w:jc w:val="center"/>
            </w:pPr>
            <w:r>
              <w:rPr>
                <w:rFonts w:ascii="Calibri" w:cs="Calibri" w:eastAsia="Calibri" w:hAnsi="Calibri"/>
                <w:b/>
                <w:bCs/>
                <w:color w:val="E53E3E"/>
                <w:sz w:val="20"/>
                <w:szCs w:val="20"/>
              </w:rPr>
              <w:t xml:space="preserve">Fail</w:t>
            </w:r>
          </w:p>
        </w:tc>
      </w:tr>
      <w:tr>
        <w:tc>
          <w:tcPr>
            <w:shd w:color="FFFFFF" w:val="solid"/>
          </w:tcPr>
          <w:p>
            <w:r>
              <w:rPr>
                <w:rFonts w:ascii="Calibri" w:cs="Calibri" w:eastAsia="Calibri" w:hAnsi="Calibri"/>
                <w:b/>
                <w:bCs/>
                <w:color w:val="2D3748"/>
                <w:sz w:val="20"/>
                <w:szCs w:val="20"/>
              </w:rPr>
              <w:t xml:space="preserve">ADAPT</w:t>
            </w:r>
          </w:p>
        </w:tc>
        <w:tc>
          <w:tcPr>
            <w:shd w:color="FFFFFF" w:val="solid"/>
          </w:tcPr>
          <w:p>
            <w:r>
              <w:rPr>
                <w:rFonts w:ascii="Calibri" w:cs="Calibri" w:eastAsia="Calibri" w:hAnsi="Calibri"/>
                <w:color w:val="4A5568"/>
                <w:sz w:val="20"/>
                <w:szCs w:val="20"/>
              </w:rPr>
              <w:t xml:space="preserve">Vendor Agility &amp; Innovation</w:t>
            </w:r>
          </w:p>
        </w:tc>
        <w:tc>
          <w:tcPr>
            <w:shd w:color="FFFFFF" w:val="solid"/>
          </w:tcPr>
          <w:p>
            <w:pPr>
              <w:jc w:val="center"/>
            </w:pPr>
            <w:r>
              <w:rPr>
                <w:rFonts w:ascii="Calibri" w:cs="Calibri" w:eastAsia="Calibri" w:hAnsi="Calibri"/>
                <w:b/>
                <w:bCs/>
                <w:color w:val="D69E2E"/>
                <w:sz w:val="20"/>
                <w:szCs w:val="20"/>
              </w:rPr>
              <w:t xml:space="preserve">Partial</w:t>
            </w:r>
          </w:p>
        </w:tc>
      </w:tr>
      <w:tr>
        <w:tc>
          <w:tcPr>
            <w:shd w:color="F7FAFC" w:val="solid"/>
          </w:tcPr>
          <w:p>
            <w:r>
              <w:rPr>
                <w:rFonts w:ascii="Calibri" w:cs="Calibri" w:eastAsia="Calibri" w:hAnsi="Calibri"/>
                <w:b/>
                <w:bCs/>
                <w:color w:val="2D3748"/>
                <w:sz w:val="20"/>
                <w:szCs w:val="20"/>
              </w:rPr>
              <w:t xml:space="preserve">USE</w:t>
            </w:r>
          </w:p>
        </w:tc>
        <w:tc>
          <w:tcPr>
            <w:shd w:color="F7FAFC" w:val="solid"/>
          </w:tcPr>
          <w:p>
            <w:r>
              <w:rPr>
                <w:rFonts w:ascii="Calibri" w:cs="Calibri" w:eastAsia="Calibri" w:hAnsi="Calibri"/>
                <w:color w:val="4A5568"/>
                <w:sz w:val="20"/>
                <w:szCs w:val="20"/>
              </w:rPr>
              <w:t xml:space="preserve">Genuine Utility &amp; Value</w:t>
            </w:r>
          </w:p>
        </w:tc>
        <w:tc>
          <w:tcPr>
            <w:shd w:color="F7FAFC" w:val="solid"/>
          </w:tcPr>
          <w:p>
            <w:pPr>
              <w:jc w:val="center"/>
            </w:pPr>
            <w:r>
              <w:rPr>
                <w:rFonts w:ascii="Calibri" w:cs="Calibri" w:eastAsia="Calibri" w:hAnsi="Calibri"/>
                <w:b/>
                <w:bCs/>
                <w:color w:val="D69E2E"/>
                <w:sz w:val="20"/>
                <w:szCs w:val="20"/>
              </w:rPr>
              <w:t xml:space="preserve">Partial</w:t>
            </w:r>
          </w:p>
        </w:tc>
      </w:tr>
      <w:tr>
        <w:tc>
          <w:tcPr>
            <w:shd w:color="FFFFFF" w:val="solid"/>
          </w:tcPr>
          <w:p>
            <w:r>
              <w:rPr>
                <w:rFonts w:ascii="Calibri" w:cs="Calibri" w:eastAsia="Calibri" w:hAnsi="Calibri"/>
                <w:b/>
                <w:bCs/>
                <w:color w:val="2D3748"/>
                <w:sz w:val="20"/>
                <w:szCs w:val="20"/>
              </w:rPr>
              <w:t xml:space="preserve">LEARN</w:t>
            </w:r>
          </w:p>
        </w:tc>
        <w:tc>
          <w:tcPr>
            <w:shd w:color="FFFFFF" w:val="solid"/>
          </w:tcPr>
          <w:p>
            <w:r>
              <w:rPr>
                <w:rFonts w:ascii="Calibri" w:cs="Calibri" w:eastAsia="Calibri" w:hAnsi="Calibri"/>
                <w:color w:val="4A5568"/>
                <w:sz w:val="20"/>
                <w:szCs w:val="20"/>
              </w:rPr>
              <w:t xml:space="preserve">Transferable Knowledge</w:t>
            </w:r>
          </w:p>
        </w:tc>
        <w:tc>
          <w:tcPr>
            <w:shd w:color="FFFFFF" w:val="solid"/>
          </w:tcPr>
          <w:p>
            <w:pPr>
              <w:jc w:val="center"/>
            </w:pPr>
            <w:r>
              <w:rPr>
                <w:rFonts w:ascii="Calibri" w:cs="Calibri" w:eastAsia="Calibri" w:hAnsi="Calibri"/>
                <w:b/>
                <w:bCs/>
                <w:color w:val="E53E3E"/>
                <w:sz w:val="20"/>
                <w:szCs w:val="20"/>
              </w:rPr>
              <w:t xml:space="preserve">Fail</w:t>
            </w:r>
          </w:p>
        </w:tc>
      </w:tr>
      <w:tr>
        <w:tc>
          <w:tcPr>
            <w:shd w:color="F7FAFC" w:val="solid"/>
          </w:tcPr>
          <w:p>
            <w:r>
              <w:rPr>
                <w:rFonts w:ascii="Calibri" w:cs="Calibri" w:eastAsia="Calibri" w:hAnsi="Calibri"/>
                <w:b/>
                <w:bCs/>
                <w:color w:val="2D3748"/>
                <w:sz w:val="20"/>
                <w:szCs w:val="20"/>
              </w:rPr>
              <w:t xml:space="preserve">EXIT</w:t>
            </w:r>
          </w:p>
        </w:tc>
        <w:tc>
          <w:tcPr>
            <w:shd w:color="F7FAFC" w:val="solid"/>
          </w:tcPr>
          <w:p>
            <w:r>
              <w:rPr>
                <w:rFonts w:ascii="Calibri" w:cs="Calibri" w:eastAsia="Calibri" w:hAnsi="Calibri"/>
                <w:color w:val="4A5568"/>
                <w:sz w:val="20"/>
                <w:szCs w:val="20"/>
              </w:rPr>
              <w:t xml:space="preserve">Portability &amp; Migration</w:t>
            </w:r>
          </w:p>
        </w:tc>
        <w:tc>
          <w:tcPr>
            <w:shd w:color="F7FAFC" w:val="solid"/>
          </w:tcPr>
          <w:p>
            <w:pPr>
              <w:jc w:val="center"/>
            </w:pPr>
            <w:r>
              <w:rPr>
                <w:rFonts w:ascii="Calibri" w:cs="Calibri" w:eastAsia="Calibri" w:hAnsi="Calibri"/>
                <w:b/>
                <w:bCs/>
                <w:color w:val="D69E2E"/>
                <w:sz w:val="20"/>
                <w:szCs w:val="20"/>
              </w:rPr>
              <w:t xml:space="preserve">Partial</w:t>
            </w:r>
          </w:p>
        </w:tc>
      </w:tr>
    </w:tbl>
    <w:p>
      <w:pPr>
        <w:pStyle w:val="Heading1"/>
        <w:spacing w:before="400" w:after="200"/>
      </w:pPr>
      <w:r>
        <w:rPr>
          <w:rFonts w:ascii="Calibri" w:cs="Calibri" w:eastAsia="Calibri" w:hAnsi="Calibri"/>
          <w:b/>
          <w:bCs/>
          <w:color w:val="2D3748"/>
          <w:sz w:val="36"/>
          <w:szCs w:val="36"/>
        </w:rPr>
        <w:t xml:space="preserve">Detailed Evaluation</w:t>
      </w:r>
    </w:p>
    <w:p>
      <w:pPr>
        <w:pStyle w:val="Heading2"/>
        <w:spacing w:before="360" w:after="80"/>
      </w:pPr>
      <w:r>
        <w:rPr>
          <w:rFonts w:ascii="Calibri" w:cs="Calibri" w:eastAsia="Calibri" w:hAnsi="Calibri"/>
          <w:b/>
          <w:bCs/>
          <w:color w:val="2D3748"/>
          <w:sz w:val="28"/>
          <w:szCs w:val="28"/>
        </w:rPr>
        <w:t xml:space="preserve">SEE — Transparency &amp; Visibility</w:t>
      </w:r>
      <w:r>
        <w:t xml:space="preserve">   </w:t>
      </w:r>
      <w:r>
        <w:rPr>
          <w:rFonts w:ascii="Calibri" w:cs="Calibri" w:eastAsia="Calibri" w:hAnsi="Calibri"/>
          <w:b/>
          <w:bCs/>
          <w:color w:val="E53E3E"/>
          <w:sz w:val="22"/>
          <w:szCs w:val="22"/>
        </w:rPr>
        <w:t xml:space="preserve">[Fail]</w:t>
      </w:r>
    </w:p>
    <w:p>
      <w:pPr>
        <w:spacing w:after="200"/>
      </w:pPr>
      <w:r>
        <w:rPr>
          <w:rFonts w:ascii="Calibri" w:cs="Calibri" w:eastAsia="Calibri" w:hAnsi="Calibri"/>
          <w:color w:val="4A5568"/>
          <w:sz w:val="22"/>
          <w:szCs w:val="22"/>
        </w:rPr>
        <w:t xml:space="preserve">Conveo operates as a black box on every dimension of mechanical transparency. Users cannot see system prompts, cannot identify which models are being used, cannot inspect RAG/retrieval architecture, and cannot tune inference parameters. The one bright spot—linking AI-generated insights back to specific participant quotes and timestamps—is evidential traceability, not AI transparency. Knowing *that* a quote was cited is fundamentally different from knowing *how* the system decided to retrieve that quote, what embedding model scored it, or what prompt framed the analysis. The platform is deliberately designed to abstract away all AI mechanics in favor of a managed, researcher-friendly experience.</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A polished, low-friction experience where research teams don't need to understand AI mechanics to run qualitative studies at scale. The evidential traceability (quotes linked to timestamps) provides auditability of outputs even without visibility into the engine. This is genuinely useful for teams that want results, not AI literacy.</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Complete inability to audit, validate, or improve the AI's reasoning process. If the AI interviewer asks poor follow-up questions, misinterprets sentiment, or retrieves irrelevant context during analysis, you have no way to diagnose *why* or intervene at the mechanical level. You also cannot assess whether Conveo quietly downgrades models or reduces inference quality to manage costs—a real risk given AI SaaS economics. Most critically, your research team builds zero organizational understanding of how AI-driven qualitative analysis actually works, making you fully dependent on Conveo's choices.</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Will you disclose which specific foundation models (vendor and version) power the interviewer, transcription, and analysis components, and will you notify customers before changing models?</w:t>
      </w:r>
    </w:p>
    <w:p>
      <w:pPr>
        <w:pStyle w:val="ListParagraph"/>
        <w:numPr>
          <w:ilvl w:val="0"/>
          <w:numId w:val="1"/>
        </w:numPr>
        <w:spacing w:after="40"/>
        <w:ind w:left="360"/>
      </w:pPr>
      <w:r>
        <w:rPr>
          <w:rFonts w:ascii="Calibri" w:cs="Calibri" w:eastAsia="Calibri" w:hAnsi="Calibri"/>
          <w:color w:val="4A5568"/>
          <w:sz w:val="20"/>
          <w:szCs w:val="20"/>
        </w:rPr>
        <w:t xml:space="preserve">Can enterprise customers access or inspect the system prompts used to drive the AI interviewer's behavior, or at minimum receive documentation of the prompt architecture and how topic guide inputs are translated into LLM instructions?</w:t>
      </w:r>
    </w:p>
    <w:p>
      <w:pPr>
        <w:pStyle w:val="ListParagraph"/>
        <w:numPr>
          <w:ilvl w:val="0"/>
          <w:numId w:val="1"/>
        </w:numPr>
        <w:spacing w:after="40"/>
        <w:ind w:left="360"/>
      </w:pPr>
      <w:r>
        <w:rPr>
          <w:rFonts w:ascii="Calibri" w:cs="Calibri" w:eastAsia="Calibri" w:hAnsi="Calibri"/>
          <w:color w:val="4A5568"/>
          <w:sz w:val="20"/>
          <w:szCs w:val="20"/>
        </w:rPr>
        <w:t xml:space="preserve">What technical controls exist for customers to validate the retrieval logic behind 'Talk to Your Data'—specifically, can we see retrieval scores, chunk boundaries, or the full context window passed to the model when it generates an insight?</w:t>
      </w:r>
    </w:p>
    <w:p>
      <w:pPr>
        <w:pStyle w:val="Heading2"/>
        <w:spacing w:before="360" w:after="80"/>
      </w:pPr>
      <w:r>
        <w:rPr>
          <w:rFonts w:ascii="Calibri" w:cs="Calibri" w:eastAsia="Calibri" w:hAnsi="Calibri"/>
          <w:b/>
          <w:bCs/>
          <w:color w:val="2D3748"/>
          <w:sz w:val="28"/>
          <w:szCs w:val="28"/>
        </w:rPr>
        <w:t xml:space="preserve">CHANGE — Customizability &amp; Control</w:t>
      </w:r>
      <w:r>
        <w:t xml:space="preserve">   </w:t>
      </w:r>
      <w:r>
        <w:rPr>
          <w:rFonts w:ascii="Calibri" w:cs="Calibri" w:eastAsia="Calibri" w:hAnsi="Calibri"/>
          <w:b/>
          <w:bCs/>
          <w:color w:val="E53E3E"/>
          <w:sz w:val="22"/>
          <w:szCs w:val="22"/>
        </w:rPr>
        <w:t xml:space="preserve">[Fail]</w:t>
      </w:r>
    </w:p>
    <w:p>
      <w:pPr>
        <w:spacing w:after="200"/>
      </w:pPr>
      <w:r>
        <w:rPr>
          <w:rFonts w:ascii="Calibri" w:cs="Calibri" w:eastAsia="Calibri" w:hAnsi="Calibri"/>
          <w:color w:val="4A5568"/>
          <w:sz w:val="22"/>
          <w:szCs w:val="22"/>
        </w:rPr>
        <w:t xml:space="preserve">Conveo provides no meaningful customization of the AI layer. Users cannot adjust system prompts, select models, modify retrieval/chunking logic, or tune inference parameters like temperature. The platform abstracts all AI mechanics behind high-level controls—preset tone options ("Neutral," "Friendly," "Humoristic") and persona labels—which influence but do not constitute control over the underlying AI behavior. The API is read-only for data retrieval, not AI configuration. What Conveo does offer is robust research design customization (branching logic, screener questions, randomization), but this is workflow control, not AI control—a critical distinction for this criterion.</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A simplified, opinionated interface that lets research professionals design and launch AI-moderated studies without needing to understand prompt engineering, model selection, or inference tuning. This lowers the barrier to adoption and reduces the risk of misconfiguration by non-technical users.</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Complete dependency on Conveo's AI decisions. If the underlying model produces suboptimal interview behavior—shallow probing, inappropriate tone, hallucinated follow-ups—the organization has no lever to fix it beyond filing a support request. The organization also builds zero internal capability in AI configuration, and cannot adapt the tool's AI behavior to novel research contexts that Conveo's preset options don't cover. If Conveo silently switches to a cheaper model to protect margins, users would have no visibility into or recourse against that change.</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Does Conveo have any roadmap for exposing AI configuration controls (model selection, temperature, custom system prompts) to enterprise customers, even behind an advanced settings flag?</w:t>
      </w:r>
    </w:p>
    <w:p>
      <w:pPr>
        <w:pStyle w:val="ListParagraph"/>
        <w:numPr>
          <w:ilvl w:val="0"/>
          <w:numId w:val="1"/>
        </w:numPr>
        <w:spacing w:after="40"/>
        <w:ind w:left="360"/>
      </w:pPr>
      <w:r>
        <w:rPr>
          <w:rFonts w:ascii="Calibri" w:cs="Calibri" w:eastAsia="Calibri" w:hAnsi="Calibri"/>
          <w:color w:val="4A5568"/>
          <w:sz w:val="20"/>
          <w:szCs w:val="20"/>
        </w:rPr>
        <w:t xml:space="preserve">When Conveo changes the underlying LLM or modifies its internal prompts, are customers notified in advance, and is there any mechanism to pin a specific model version for study consistency?</w:t>
      </w:r>
    </w:p>
    <w:p>
      <w:pPr>
        <w:pStyle w:val="ListParagraph"/>
        <w:numPr>
          <w:ilvl w:val="0"/>
          <w:numId w:val="1"/>
        </w:numPr>
        <w:spacing w:after="40"/>
        <w:ind w:left="360"/>
      </w:pPr>
      <w:r>
        <w:rPr>
          <w:rFonts w:ascii="Calibri" w:cs="Calibri" w:eastAsia="Calibri" w:hAnsi="Calibri"/>
          <w:color w:val="4A5568"/>
          <w:sz w:val="20"/>
          <w:szCs w:val="20"/>
        </w:rPr>
        <w:t xml:space="preserve">For enterprise accounts, is there any ability to inject custom instructions or constraints into the AI moderator beyond the preset tone and persona options—for example, compliance-mandated language, prohibited topics, or domain-specific probing rules?</w:t>
      </w:r>
    </w:p>
    <w:p>
      <w:pPr>
        <w:pStyle w:val="Heading2"/>
        <w:spacing w:before="360" w:after="80"/>
      </w:pPr>
      <w:r>
        <w:rPr>
          <w:rFonts w:ascii="Calibri" w:cs="Calibri" w:eastAsia="Calibri" w:hAnsi="Calibri"/>
          <w:b/>
          <w:bCs/>
          <w:color w:val="2D3748"/>
          <w:sz w:val="28"/>
          <w:szCs w:val="28"/>
        </w:rPr>
        <w:t xml:space="preserve">ADAPT — Vendor Agility &amp; Innovation</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Conveo demonstrates strong development velocity and genuine adoption of frontier capabilities—multimodal analysis via Gemini is a real technical differentiator, not just a marketing claim. However, the company is tightly coupled to a single foundation model provider (Google Gemini) with no evidence of model agnosticism or ability to swap in superior models from OpenAI, Anthropic, or others. The "days rather than weeks" claim for feature deployment is attributed solely to the CEO with no verifiable release history, changelogs, or dated feature announcements to corroborate it. For a company less than a year old, the 3-12 month competitive lead claim is aspirational rather than demonstrated—there is no track record of responding to major AI paradigm shifts because the company hasn't existed long enough to have faced one.</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An organization gains a vendor that is deeply embedded in the Google Cloud ecosystem, enabling fast adoption of Gemini-specific advances (particularly multimodal capabilities) and a development team that appears genuinely oriented toward rapid iteration rather than long release cycles.</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The organization accepts single-provider model dependency. If a non-Google model becomes materially superior for qualitative research tasks (e.g., Claude for nuanced text analysis, GPT-5 for reasoning), Conveo has no demonstrated path to adopt it. The organization also accepts an unverified velocity claim from a pre-revenue-maturity startup with no public track record of navigating a major model transition.</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What is your technical architecture for model integration—could you swap in a non-Google foundation model (e.g., Claude, GPT-4) within weeks if it proved materially superior for qualitative analysis, or would that require a significant re-architecture?</w:t>
      </w:r>
    </w:p>
    <w:p>
      <w:pPr>
        <w:pStyle w:val="ListParagraph"/>
        <w:numPr>
          <w:ilvl w:val="0"/>
          <w:numId w:val="1"/>
        </w:numPr>
        <w:spacing w:after="40"/>
        <w:ind w:left="360"/>
      </w:pPr>
      <w:r>
        <w:rPr>
          <w:rFonts w:ascii="Calibri" w:cs="Calibri" w:eastAsia="Calibri" w:hAnsi="Calibri"/>
          <w:color w:val="4A5568"/>
          <w:sz w:val="20"/>
          <w:szCs w:val="20"/>
        </w:rPr>
        <w:t xml:space="preserve">Can you provide a dated changelog or release history showing specific features shipped in response to new Gemini model releases, so we can verify the 'days rather than weeks' deployment claim with concrete examples?</w:t>
      </w:r>
    </w:p>
    <w:p>
      <w:pPr>
        <w:pStyle w:val="ListParagraph"/>
        <w:numPr>
          <w:ilvl w:val="0"/>
          <w:numId w:val="1"/>
        </w:numPr>
        <w:spacing w:after="40"/>
        <w:ind w:left="360"/>
      </w:pPr>
      <w:r>
        <w:rPr>
          <w:rFonts w:ascii="Calibri" w:cs="Calibri" w:eastAsia="Calibri" w:hAnsi="Calibri"/>
          <w:color w:val="4A5568"/>
          <w:sz w:val="20"/>
          <w:szCs w:val="20"/>
        </w:rPr>
        <w:t xml:space="preserve">What is your contingency plan if Google significantly changes Gemini pricing, deprecates a model version you depend on, or restricts API access—how insulated is your platform from Google's product decisions?</w:t>
      </w:r>
    </w:p>
    <w:p>
      <w:pPr>
        <w:pStyle w:val="Heading2"/>
        <w:spacing w:before="360" w:after="80"/>
      </w:pPr>
      <w:r>
        <w:rPr>
          <w:rFonts w:ascii="Calibri" w:cs="Calibri" w:eastAsia="Calibri" w:hAnsi="Calibri"/>
          <w:b/>
          <w:bCs/>
          <w:color w:val="2D3748"/>
          <w:sz w:val="28"/>
          <w:szCs w:val="28"/>
        </w:rPr>
        <w:t xml:space="preserve">USE — Genuine Utility &amp; Value</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Conveo presents a compelling value proposition for AI-powered qualitative research, with named customer testimonials (Unilever, Edgard &amp; Cooper, Orange) and specific quantitative claims (75% cost reduction, 3-4x longer responses, 200 interviews overnight). The end-to-end workflow—from recruitment through AI-moderated video interviews to source-linked analysis—represents genuine differentiation over both traditional methods and generic LLMs. However, nearly all evidence originates from Conveo's own marketing materials, not independent validation. The quantitative metrics (75% cost savings, 3x more successful launches, 99% confidence) are vendor-asserted without published methodology, sample sizes, or third-party verification. Customer quotes are brief and curated; there are no detailed, independently published case studies showing sustained multi-study ROI or longitudinal adoption data. The comparison against generic AI tools is persuasive on architecture but conveniently omits purpose-built competitors (e.g., Discuss.io, Remesh, dscout) that would represent the real competitive set for a Fortune 100 buyer.</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A dramatically faster, cheaper, and more scalable qualitative research capability that can compress 6-week research cycles into days, enable simultaneous global testing, and provide video-linked evidence trails that reduce hallucination risk and improve stakeholder alignment.</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Dependence on AI-moderated interviews whose quality relative to skilled human moderators is unproven by independent research; potential loss of nuance in complex or sensitive research contexts; and reliance on vendor-asserted metrics that lack third-party validation, making it difficult to benchmark true ROI against purpose-built competitors in the AI qualitative research space.</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Can you provide independently verified case studies or third-party audits of the claimed metrics (75% cost reduction, 3x more successful launches, 50% more insights)—including methodology, sample sizes, and baseline comparisons against purpose-built AI research competitors like Discuss.io, Remesh, or dscout rather than just traditional methods or generic LLMs?</w:t>
      </w:r>
    </w:p>
    <w:p>
      <w:pPr>
        <w:pStyle w:val="ListParagraph"/>
        <w:numPr>
          <w:ilvl w:val="0"/>
          <w:numId w:val="1"/>
        </w:numPr>
        <w:spacing w:after="40"/>
        <w:ind w:left="360"/>
      </w:pPr>
      <w:r>
        <w:rPr>
          <w:rFonts w:ascii="Calibri" w:cs="Calibri" w:eastAsia="Calibri" w:hAnsi="Calibri"/>
          <w:color w:val="4A5568"/>
          <w:sz w:val="20"/>
          <w:szCs w:val="20"/>
        </w:rPr>
        <w:t xml:space="preserve">What does sustained adoption look like among your enterprise clients—how many have moved beyond pilot to enterprise-wide deployment, what is your net revenue retention rate, and can you share longitudinal data on research quality or ROI across multiple studies with the same client?</w:t>
      </w:r>
    </w:p>
    <w:p>
      <w:pPr>
        <w:pStyle w:val="ListParagraph"/>
        <w:numPr>
          <w:ilvl w:val="0"/>
          <w:numId w:val="1"/>
        </w:numPr>
        <w:spacing w:after="40"/>
        <w:ind w:left="360"/>
      </w:pPr>
      <w:r>
        <w:rPr>
          <w:rFonts w:ascii="Calibri" w:cs="Calibri" w:eastAsia="Calibri" w:hAnsi="Calibri"/>
          <w:color w:val="4A5568"/>
          <w:sz w:val="20"/>
          <w:szCs w:val="20"/>
        </w:rPr>
        <w:t xml:space="preserve">In what research contexts or topic areas does Conveo's AI moderator perform poorly compared to a skilled human moderator, and what guardrails exist to prevent low-quality probing on sensitive, complex, or culturally nuanced topics?</w:t>
      </w:r>
    </w:p>
    <w:p>
      <w:pPr>
        <w:pStyle w:val="Heading2"/>
        <w:spacing w:before="360" w:after="80"/>
      </w:pPr>
      <w:r>
        <w:rPr>
          <w:rFonts w:ascii="Calibri" w:cs="Calibri" w:eastAsia="Calibri" w:hAnsi="Calibri"/>
          <w:b/>
          <w:bCs/>
          <w:color w:val="2D3748"/>
          <w:sz w:val="28"/>
          <w:szCs w:val="28"/>
        </w:rPr>
        <w:t xml:space="preserve">LEARN — Transferable Knowledge</w:t>
      </w:r>
      <w:r>
        <w:t xml:space="preserve">   </w:t>
      </w:r>
      <w:r>
        <w:rPr>
          <w:rFonts w:ascii="Calibri" w:cs="Calibri" w:eastAsia="Calibri" w:hAnsi="Calibri"/>
          <w:b/>
          <w:bCs/>
          <w:color w:val="E53E3E"/>
          <w:sz w:val="22"/>
          <w:szCs w:val="22"/>
        </w:rPr>
        <w:t xml:space="preserve">[Fail]</w:t>
      </w:r>
    </w:p>
    <w:p>
      <w:pPr>
        <w:spacing w:after="200"/>
      </w:pPr>
      <w:r>
        <w:rPr>
          <w:rFonts w:ascii="Calibri" w:cs="Calibri" w:eastAsia="Calibri" w:hAnsi="Calibri"/>
          <w:color w:val="4A5568"/>
          <w:sz w:val="22"/>
          <w:szCs w:val="22"/>
        </w:rPr>
        <w:t xml:space="preserve">Conveo is explicitly designed to abstract away AI mechanics, not teach them. The platform's core value proposition—"No expertise... Share your goals, AI does the rest"—means users never engage with prompting, model selection, context management, or evaluation principles. The AI interviewer generates follow-up questions automatically, analysis is delivered as packaged outputs (themes, clusters, executive summaries), and the sole underlying model (Gemini) is not disclosed as a user-facing choice. While the "Talk to Your Data" feature allows natural language queries and the TQL chart editor offers some structured interaction with AI-driven analysis, these are tool-specific skills with minimal portability. Users gain strategic understanding of AI-augmented market research as a methodology, but this is domain knowledge, not transferable AI fluency. There is no formal training, certification, or educational content that builds general AI literacy—documentation is entirely product-focused.</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Immediate productivity for non-technical research teams. Conveo removes the AI learning curve entirely, letting market researchers run AI-moderated studies without understanding prompting, model behavior, or evaluation—delivering fast time-to-value for the insights function.</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Organizational AI fluency development. Teams using Conveo will not build portable skills in prompt engineering, model evaluation, or AI architecture. If the organization later needs researchers who can work with general-purpose LLMs, build custom AI workflows, or critically evaluate AI outputs beyond Conveo's interface, those capabilities will need to be developed separately. Heavy reliance on Conveo may create a team that is productive within the tool but dependent on it.</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Do you have plans to expose more of the AI mechanics to users—such as showing the prompts used for interview probing or analysis, or allowing users to modify them directly—so that researchers can build transferable prompting skills?</w:t>
      </w:r>
    </w:p>
    <w:p>
      <w:pPr>
        <w:pStyle w:val="ListParagraph"/>
        <w:numPr>
          <w:ilvl w:val="0"/>
          <w:numId w:val="1"/>
        </w:numPr>
        <w:spacing w:after="40"/>
        <w:ind w:left="360"/>
      </w:pPr>
      <w:r>
        <w:rPr>
          <w:rFonts w:ascii="Calibri" w:cs="Calibri" w:eastAsia="Calibri" w:hAnsi="Calibri"/>
          <w:color w:val="4A5568"/>
          <w:sz w:val="20"/>
          <w:szCs w:val="20"/>
        </w:rPr>
        <w:t xml:space="preserve">Would you consider offering educational content or training modules that teach general AI principles (e.g., how LLMs generate follow-up questions, how multimodal analysis works, how to evaluate AI-generated insights for hallucination) rather than just product-specific walkthroughs?</w:t>
      </w:r>
    </w:p>
    <w:p>
      <w:pPr>
        <w:pStyle w:val="ListParagraph"/>
        <w:numPr>
          <w:ilvl w:val="0"/>
          <w:numId w:val="1"/>
        </w:numPr>
        <w:spacing w:after="40"/>
        <w:ind w:left="360"/>
      </w:pPr>
      <w:r>
        <w:rPr>
          <w:rFonts w:ascii="Calibri" w:cs="Calibri" w:eastAsia="Calibri" w:hAnsi="Calibri"/>
          <w:color w:val="4A5568"/>
          <w:sz w:val="20"/>
          <w:szCs w:val="20"/>
        </w:rPr>
        <w:t xml:space="preserve">For organizations that want their research teams to develop deeper AI literacy, what does the skill development path look like for a Conveo power user—do they graduate to more advanced AI capabilities, or does the platform intentionally keep the AI layer opaque regardless of user sophistication?</w:t>
      </w:r>
    </w:p>
    <w:p>
      <w:pPr>
        <w:pStyle w:val="Heading2"/>
        <w:spacing w:before="360" w:after="80"/>
      </w:pPr>
      <w:r>
        <w:rPr>
          <w:rFonts w:ascii="Calibri" w:cs="Calibri" w:eastAsia="Calibri" w:hAnsi="Calibri"/>
          <w:b/>
          <w:bCs/>
          <w:color w:val="2D3748"/>
          <w:sz w:val="28"/>
          <w:szCs w:val="28"/>
        </w:rPr>
        <w:t xml:space="preserve">EXIT — Portability &amp; Migration</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Conveo offers strong data portability for raw assets—CSV, Excel, WebVTT transcripts, and video downloads are all standard formats, and the API provides programmatic access for bulk extraction. However, two meaningful gaps prevent a "yes" score. First, there is no bulk export function; full account migration requires either a developer writing scripts against the API or repetitive manual per-project exports. Second, the platform's core analytical value—the searchable insight library, coded theme-to-video-timestamp linkages, and the interactive "knowledge web" connecting past research—cannot be exported as a portable artifact. You retain the raw materials but lose the connective tissue that makes them useful, which represents moderate institutional knowledge lock-in.</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Strong raw data portability in standard formats (CSV, Excel, WebVTT, video files), API access for programmatic extraction, contractual data return/deletion guarantees, and no publicly documented exit fees—meaning the organization retains ownership of its core research assets and can leave without a hostage negotiation over data.</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The accumulated analytical layer—coded taxonomies linked to specific video moments, the searchable insight library, and cross-project knowledge connections—is not portable as a functioning system. Rebuilding this in another tool would require significant manual effort. The longer and more extensively the organization uses Conveo's insight library as its institutional research memory, the higher the switching cost becomes. Additionally, bulk migration requires technical resources (API scripting) since no one-click account export exists.</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Can you export the full insight library—including coded themes, their linkages to specific video timestamps, and cross-project connections—in a structured, machine-readable format (e.g., JSON or CSV) that would allow reconstruction in another platform?</w:t>
      </w:r>
    </w:p>
    <w:p>
      <w:pPr>
        <w:pStyle w:val="ListParagraph"/>
        <w:numPr>
          <w:ilvl w:val="0"/>
          <w:numId w:val="1"/>
        </w:numPr>
        <w:spacing w:after="40"/>
        <w:ind w:left="360"/>
      </w:pPr>
      <w:r>
        <w:rPr>
          <w:rFonts w:ascii="Calibri" w:cs="Calibri" w:eastAsia="Calibri" w:hAnsi="Calibri"/>
          <w:color w:val="4A5568"/>
          <w:sz w:val="20"/>
          <w:szCs w:val="20"/>
        </w:rPr>
        <w:t xml:space="preserve">What is the concrete process and timeline for a full account migration? Will Conveo provide a complete data archive upon contract termination, and is there any cost associated with that assistance beyond the standard subscription?</w:t>
      </w:r>
    </w:p>
    <w:p>
      <w:pPr>
        <w:pStyle w:val="ListParagraph"/>
        <w:numPr>
          <w:ilvl w:val="0"/>
          <w:numId w:val="1"/>
        </w:numPr>
        <w:spacing w:after="40"/>
        <w:ind w:left="360"/>
      </w:pPr>
      <w:r>
        <w:rPr>
          <w:rFonts w:ascii="Calibri" w:cs="Calibri" w:eastAsia="Calibri" w:hAnsi="Calibri"/>
          <w:color w:val="4A5568"/>
          <w:sz w:val="20"/>
          <w:szCs w:val="20"/>
        </w:rPr>
        <w:t xml:space="preserve">For enterprise customers with hundreds of studies, is there a bulk export capability planned, or would migration always require custom API scripting against the current per-study endpoints?</w:t>
      </w:r>
    </w:p>
    <w:p>
      <w:pPr>
        <w:pStyle w:val="Heading1"/>
        <w:spacing w:before="400" w:after="200"/>
      </w:pPr>
      <w:r>
        <w:rPr>
          <w:rFonts w:ascii="Calibri" w:cs="Calibri" w:eastAsia="Calibri" w:hAnsi="Calibri"/>
          <w:b/>
          <w:bCs/>
          <w:color w:val="2D3748"/>
          <w:sz w:val="36"/>
          <w:szCs w:val="36"/>
        </w:rPr>
        <w:t xml:space="preserve">Trade-off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D3748" w:val="solid"/>
          </w:tcPr>
          <w:p>
            <w:r>
              <w:rPr>
                <w:rFonts w:ascii="Calibri" w:cs="Calibri" w:eastAsia="Calibri" w:hAnsi="Calibri"/>
                <w:b/>
                <w:bCs/>
                <w:color w:val="FFFFFF"/>
                <w:sz w:val="18"/>
                <w:szCs w:val="18"/>
              </w:rPr>
              <w:t xml:space="preserve">Criterion</w:t>
            </w:r>
          </w:p>
        </w:tc>
        <w:tc>
          <w:tcPr>
            <w:shd w:color="2D3748" w:val="solid"/>
          </w:tcPr>
          <w:p>
            <w:r>
              <w:rPr>
                <w:rFonts w:ascii="Calibri" w:cs="Calibri" w:eastAsia="Calibri" w:hAnsi="Calibri"/>
                <w:b/>
                <w:bCs/>
                <w:color w:val="FFFFFF"/>
                <w:sz w:val="18"/>
                <w:szCs w:val="18"/>
              </w:rPr>
              <w:t xml:space="preserve">Result</w:t>
            </w:r>
          </w:p>
        </w:tc>
        <w:tc>
          <w:tcPr>
            <w:shd w:color="2D3748" w:val="solid"/>
          </w:tcPr>
          <w:p>
            <w:r>
              <w:rPr>
                <w:rFonts w:ascii="Calibri" w:cs="Calibri" w:eastAsia="Calibri" w:hAnsi="Calibri"/>
                <w:b/>
                <w:bCs/>
                <w:color w:val="FFFFFF"/>
                <w:sz w:val="18"/>
                <w:szCs w:val="18"/>
              </w:rPr>
              <w:t xml:space="preserve">You Gain</w:t>
            </w:r>
          </w:p>
        </w:tc>
        <w:tc>
          <w:tcPr>
            <w:shd w:color="2D3748" w:val="solid"/>
          </w:tcPr>
          <w:p>
            <w:r>
              <w:rPr>
                <w:rFonts w:ascii="Calibri" w:cs="Calibri" w:eastAsia="Calibri" w:hAnsi="Calibri"/>
                <w:b/>
                <w:bCs/>
                <w:color w:val="FFFFFF"/>
                <w:sz w:val="18"/>
                <w:szCs w:val="18"/>
              </w:rPr>
              <w:t xml:space="preserve">You Give Up</w:t>
            </w:r>
          </w:p>
        </w:tc>
      </w:tr>
      <w:tr>
        <w:tc>
          <w:tcPr>
            <w:shd w:color="FFFFFF" w:val="solid"/>
          </w:tcPr>
          <w:p>
            <w:r>
              <w:rPr>
                <w:rFonts w:ascii="Calibri" w:cs="Calibri" w:eastAsia="Calibri" w:hAnsi="Calibri"/>
                <w:b/>
                <w:bCs/>
                <w:color w:val="2D3748"/>
                <w:sz w:val="18"/>
                <w:szCs w:val="18"/>
              </w:rPr>
              <w:t xml:space="preserve">SEE</w:t>
            </w:r>
          </w:p>
        </w:tc>
        <w:tc>
          <w:tcPr>
            <w:shd w:color="FFFFFF" w:val="solid"/>
          </w:tcPr>
          <w:p>
            <w:r>
              <w:rPr>
                <w:rFonts w:ascii="Calibri" w:cs="Calibri" w:eastAsia="Calibri" w:hAnsi="Calibri"/>
                <w:b/>
                <w:bCs/>
                <w:color w:val="E53E3E"/>
                <w:sz w:val="18"/>
                <w:szCs w:val="18"/>
              </w:rPr>
              <w:t xml:space="preserve">Fail</w:t>
            </w:r>
          </w:p>
        </w:tc>
        <w:tc>
          <w:tcPr>
            <w:shd w:color="FFFFFF" w:val="solid"/>
          </w:tcPr>
          <w:p>
            <w:r>
              <w:rPr>
                <w:rFonts w:ascii="Calibri" w:cs="Calibri" w:eastAsia="Calibri" w:hAnsi="Calibri"/>
                <w:color w:val="4A5568"/>
                <w:sz w:val="18"/>
                <w:szCs w:val="18"/>
              </w:rPr>
              <w:t xml:space="preserve">A polished, low-friction experience where research teams don't need to understand AI mechanics to run qualitative studies at scale. The evidential traceability (quotes linked to timestamps) provides auditability of outputs even without visibility into the engine. This is genuinely useful for teams that want results, not AI literacy.</w:t>
            </w:r>
          </w:p>
        </w:tc>
        <w:tc>
          <w:tcPr>
            <w:shd w:color="FFFFFF" w:val="solid"/>
          </w:tcPr>
          <w:p>
            <w:r>
              <w:rPr>
                <w:rFonts w:ascii="Calibri" w:cs="Calibri" w:eastAsia="Calibri" w:hAnsi="Calibri"/>
                <w:color w:val="4A5568"/>
                <w:sz w:val="18"/>
                <w:szCs w:val="18"/>
              </w:rPr>
              <w:t xml:space="preserve">Complete inability to audit, validate, or improve the AI's reasoning process. If the AI interviewer asks poor follow-up questions, misinterprets sentiment, or retrieves irrelevant context during analysis, you have no way to diagnose *why* or intervene at the mechanical level. You also cannot assess whether Conveo quietly downgrades models or reduces inference quality to manage costs—a real risk given AI SaaS economics. Most critically, your research team builds zero organizational understanding of how AI-driven qualitative analysis actually works, making you fully dependent on Conveo's choices.</w:t>
            </w:r>
          </w:p>
        </w:tc>
      </w:tr>
      <w:tr>
        <w:tc>
          <w:tcPr>
            <w:shd w:color="F7FAFC" w:val="solid"/>
          </w:tcPr>
          <w:p>
            <w:r>
              <w:rPr>
                <w:rFonts w:ascii="Calibri" w:cs="Calibri" w:eastAsia="Calibri" w:hAnsi="Calibri"/>
                <w:b/>
                <w:bCs/>
                <w:color w:val="2D3748"/>
                <w:sz w:val="18"/>
                <w:szCs w:val="18"/>
              </w:rPr>
              <w:t xml:space="preserve">CHANGE</w:t>
            </w:r>
          </w:p>
        </w:tc>
        <w:tc>
          <w:tcPr>
            <w:shd w:color="F7FAFC" w:val="solid"/>
          </w:tcPr>
          <w:p>
            <w:r>
              <w:rPr>
                <w:rFonts w:ascii="Calibri" w:cs="Calibri" w:eastAsia="Calibri" w:hAnsi="Calibri"/>
                <w:b/>
                <w:bCs/>
                <w:color w:val="E53E3E"/>
                <w:sz w:val="18"/>
                <w:szCs w:val="18"/>
              </w:rPr>
              <w:t xml:space="preserve">Fail</w:t>
            </w:r>
          </w:p>
        </w:tc>
        <w:tc>
          <w:tcPr>
            <w:shd w:color="F7FAFC" w:val="solid"/>
          </w:tcPr>
          <w:p>
            <w:r>
              <w:rPr>
                <w:rFonts w:ascii="Calibri" w:cs="Calibri" w:eastAsia="Calibri" w:hAnsi="Calibri"/>
                <w:color w:val="4A5568"/>
                <w:sz w:val="18"/>
                <w:szCs w:val="18"/>
              </w:rPr>
              <w:t xml:space="preserve">A simplified, opinionated interface that lets research professionals design and launch AI-moderated studies without needing to understand prompt engineering, model selection, or inference tuning. This lowers the barrier to adoption and reduces the risk of misconfiguration by non-technical users.</w:t>
            </w:r>
          </w:p>
        </w:tc>
        <w:tc>
          <w:tcPr>
            <w:shd w:color="F7FAFC" w:val="solid"/>
          </w:tcPr>
          <w:p>
            <w:r>
              <w:rPr>
                <w:rFonts w:ascii="Calibri" w:cs="Calibri" w:eastAsia="Calibri" w:hAnsi="Calibri"/>
                <w:color w:val="4A5568"/>
                <w:sz w:val="18"/>
                <w:szCs w:val="18"/>
              </w:rPr>
              <w:t xml:space="preserve">Complete dependency on Conveo's AI decisions. If the underlying model produces suboptimal interview behavior—shallow probing, inappropriate tone, hallucinated follow-ups—the organization has no lever to fix it beyond filing a support request. The organization also builds zero internal capability in AI configuration, and cannot adapt the tool's AI behavior to novel research contexts that Conveo's preset options don't cover. If Conveo silently switches to a cheaper model to protect margins, users would have no visibility into or recourse against that change.</w:t>
            </w:r>
          </w:p>
        </w:tc>
      </w:tr>
      <w:tr>
        <w:tc>
          <w:tcPr>
            <w:shd w:color="FFFFFF" w:val="solid"/>
          </w:tcPr>
          <w:p>
            <w:r>
              <w:rPr>
                <w:rFonts w:ascii="Calibri" w:cs="Calibri" w:eastAsia="Calibri" w:hAnsi="Calibri"/>
                <w:b/>
                <w:bCs/>
                <w:color w:val="2D3748"/>
                <w:sz w:val="18"/>
                <w:szCs w:val="18"/>
              </w:rPr>
              <w:t xml:space="preserve">ADAPT</w:t>
            </w:r>
          </w:p>
        </w:tc>
        <w:tc>
          <w:tcPr>
            <w:shd w:color="FFFFFF" w:val="solid"/>
          </w:tcPr>
          <w:p>
            <w:r>
              <w:rPr>
                <w:rFonts w:ascii="Calibri" w:cs="Calibri" w:eastAsia="Calibri" w:hAnsi="Calibri"/>
                <w:b/>
                <w:bCs/>
                <w:color w:val="D69E2E"/>
                <w:sz w:val="18"/>
                <w:szCs w:val="18"/>
              </w:rPr>
              <w:t xml:space="preserve">Partial</w:t>
            </w:r>
          </w:p>
        </w:tc>
        <w:tc>
          <w:tcPr>
            <w:shd w:color="FFFFFF" w:val="solid"/>
          </w:tcPr>
          <w:p>
            <w:r>
              <w:rPr>
                <w:rFonts w:ascii="Calibri" w:cs="Calibri" w:eastAsia="Calibri" w:hAnsi="Calibri"/>
                <w:color w:val="4A5568"/>
                <w:sz w:val="18"/>
                <w:szCs w:val="18"/>
              </w:rPr>
              <w:t xml:space="preserve">An organization gains a vendor that is deeply embedded in the Google Cloud ecosystem, enabling fast adoption of Gemini-specific advances (particularly multimodal capabilities) and a development team that appears genuinely oriented toward rapid iteration rather than long release cycles.</w:t>
            </w:r>
          </w:p>
        </w:tc>
        <w:tc>
          <w:tcPr>
            <w:shd w:color="FFFFFF" w:val="solid"/>
          </w:tcPr>
          <w:p>
            <w:r>
              <w:rPr>
                <w:rFonts w:ascii="Calibri" w:cs="Calibri" w:eastAsia="Calibri" w:hAnsi="Calibri"/>
                <w:color w:val="4A5568"/>
                <w:sz w:val="18"/>
                <w:szCs w:val="18"/>
              </w:rPr>
              <w:t xml:space="preserve">The organization accepts single-provider model dependency. If a non-Google model becomes materially superior for qualitative research tasks (e.g., Claude for nuanced text analysis, GPT-5 for reasoning), Conveo has no demonstrated path to adopt it. The organization also accepts an unverified velocity claim from a pre-revenue-maturity startup with no public track record of navigating a major model transition.</w:t>
            </w:r>
          </w:p>
        </w:tc>
      </w:tr>
      <w:tr>
        <w:tc>
          <w:tcPr>
            <w:shd w:color="F7FAFC" w:val="solid"/>
          </w:tcPr>
          <w:p>
            <w:r>
              <w:rPr>
                <w:rFonts w:ascii="Calibri" w:cs="Calibri" w:eastAsia="Calibri" w:hAnsi="Calibri"/>
                <w:b/>
                <w:bCs/>
                <w:color w:val="2D3748"/>
                <w:sz w:val="18"/>
                <w:szCs w:val="18"/>
              </w:rPr>
              <w:t xml:space="preserve">USE</w:t>
            </w:r>
          </w:p>
        </w:tc>
        <w:tc>
          <w:tcPr>
            <w:shd w:color="F7FAFC" w:val="solid"/>
          </w:tcPr>
          <w:p>
            <w:r>
              <w:rPr>
                <w:rFonts w:ascii="Calibri" w:cs="Calibri" w:eastAsia="Calibri" w:hAnsi="Calibri"/>
                <w:b/>
                <w:bCs/>
                <w:color w:val="D69E2E"/>
                <w:sz w:val="18"/>
                <w:szCs w:val="18"/>
              </w:rPr>
              <w:t xml:space="preserve">Partial</w:t>
            </w:r>
          </w:p>
        </w:tc>
        <w:tc>
          <w:tcPr>
            <w:shd w:color="F7FAFC" w:val="solid"/>
          </w:tcPr>
          <w:p>
            <w:r>
              <w:rPr>
                <w:rFonts w:ascii="Calibri" w:cs="Calibri" w:eastAsia="Calibri" w:hAnsi="Calibri"/>
                <w:color w:val="4A5568"/>
                <w:sz w:val="18"/>
                <w:szCs w:val="18"/>
              </w:rPr>
              <w:t xml:space="preserve">A dramatically faster, cheaper, and more scalable qualitative research capability that can compress 6-week research cycles into days, enable simultaneous global testing, and provide video-linked evidence trails that reduce hallucination risk and improve stakeholder alignment.</w:t>
            </w:r>
          </w:p>
        </w:tc>
        <w:tc>
          <w:tcPr>
            <w:shd w:color="F7FAFC" w:val="solid"/>
          </w:tcPr>
          <w:p>
            <w:r>
              <w:rPr>
                <w:rFonts w:ascii="Calibri" w:cs="Calibri" w:eastAsia="Calibri" w:hAnsi="Calibri"/>
                <w:color w:val="4A5568"/>
                <w:sz w:val="18"/>
                <w:szCs w:val="18"/>
              </w:rPr>
              <w:t xml:space="preserve">Dependence on AI-moderated interviews whose quality relative to skilled human moderators is unproven by independent research; potential loss of nuance in complex or sensitive research contexts; and reliance on vendor-asserted metrics that lack third-party validation, making it difficult to benchmark true ROI against purpose-built competitors in the AI qualitative research space.</w:t>
            </w:r>
          </w:p>
        </w:tc>
      </w:tr>
      <w:tr>
        <w:tc>
          <w:tcPr>
            <w:shd w:color="FFFFFF" w:val="solid"/>
          </w:tcPr>
          <w:p>
            <w:r>
              <w:rPr>
                <w:rFonts w:ascii="Calibri" w:cs="Calibri" w:eastAsia="Calibri" w:hAnsi="Calibri"/>
                <w:b/>
                <w:bCs/>
                <w:color w:val="2D3748"/>
                <w:sz w:val="18"/>
                <w:szCs w:val="18"/>
              </w:rPr>
              <w:t xml:space="preserve">LEARN</w:t>
            </w:r>
          </w:p>
        </w:tc>
        <w:tc>
          <w:tcPr>
            <w:shd w:color="FFFFFF" w:val="solid"/>
          </w:tcPr>
          <w:p>
            <w:r>
              <w:rPr>
                <w:rFonts w:ascii="Calibri" w:cs="Calibri" w:eastAsia="Calibri" w:hAnsi="Calibri"/>
                <w:b/>
                <w:bCs/>
                <w:color w:val="E53E3E"/>
                <w:sz w:val="18"/>
                <w:szCs w:val="18"/>
              </w:rPr>
              <w:t xml:space="preserve">Fail</w:t>
            </w:r>
          </w:p>
        </w:tc>
        <w:tc>
          <w:tcPr>
            <w:shd w:color="FFFFFF" w:val="solid"/>
          </w:tcPr>
          <w:p>
            <w:r>
              <w:rPr>
                <w:rFonts w:ascii="Calibri" w:cs="Calibri" w:eastAsia="Calibri" w:hAnsi="Calibri"/>
                <w:color w:val="4A5568"/>
                <w:sz w:val="18"/>
                <w:szCs w:val="18"/>
              </w:rPr>
              <w:t xml:space="preserve">Immediate productivity for non-technical research teams. Conveo removes the AI learning curve entirely, letting market researchers run AI-moderated studies without understanding prompting, model behavior, or evaluation—delivering fast time-to-value for the insights function.</w:t>
            </w:r>
          </w:p>
        </w:tc>
        <w:tc>
          <w:tcPr>
            <w:shd w:color="FFFFFF" w:val="solid"/>
          </w:tcPr>
          <w:p>
            <w:r>
              <w:rPr>
                <w:rFonts w:ascii="Calibri" w:cs="Calibri" w:eastAsia="Calibri" w:hAnsi="Calibri"/>
                <w:color w:val="4A5568"/>
                <w:sz w:val="18"/>
                <w:szCs w:val="18"/>
              </w:rPr>
              <w:t xml:space="preserve">Organizational AI fluency development. Teams using Conveo will not build portable skills in prompt engineering, model evaluation, or AI architecture. If the organization later needs researchers who can work with general-purpose LLMs, build custom AI workflows, or critically evaluate AI outputs beyond Conveo's interface, those capabilities will need to be developed separately. Heavy reliance on Conveo may create a team that is productive within the tool but dependent on it.</w:t>
            </w:r>
          </w:p>
        </w:tc>
      </w:tr>
      <w:tr>
        <w:tc>
          <w:tcPr>
            <w:shd w:color="F7FAFC" w:val="solid"/>
          </w:tcPr>
          <w:p>
            <w:r>
              <w:rPr>
                <w:rFonts w:ascii="Calibri" w:cs="Calibri" w:eastAsia="Calibri" w:hAnsi="Calibri"/>
                <w:b/>
                <w:bCs/>
                <w:color w:val="2D3748"/>
                <w:sz w:val="18"/>
                <w:szCs w:val="18"/>
              </w:rPr>
              <w:t xml:space="preserve">EXIT</w:t>
            </w:r>
          </w:p>
        </w:tc>
        <w:tc>
          <w:tcPr>
            <w:shd w:color="F7FAFC" w:val="solid"/>
          </w:tcPr>
          <w:p>
            <w:r>
              <w:rPr>
                <w:rFonts w:ascii="Calibri" w:cs="Calibri" w:eastAsia="Calibri" w:hAnsi="Calibri"/>
                <w:b/>
                <w:bCs/>
                <w:color w:val="D69E2E"/>
                <w:sz w:val="18"/>
                <w:szCs w:val="18"/>
              </w:rPr>
              <w:t xml:space="preserve">Partial</w:t>
            </w:r>
          </w:p>
        </w:tc>
        <w:tc>
          <w:tcPr>
            <w:shd w:color="F7FAFC" w:val="solid"/>
          </w:tcPr>
          <w:p>
            <w:r>
              <w:rPr>
                <w:rFonts w:ascii="Calibri" w:cs="Calibri" w:eastAsia="Calibri" w:hAnsi="Calibri"/>
                <w:color w:val="4A5568"/>
                <w:sz w:val="18"/>
                <w:szCs w:val="18"/>
              </w:rPr>
              <w:t xml:space="preserve">Strong raw data portability in standard formats (CSV, Excel, WebVTT, video files), API access for programmatic extraction, contractual data return/deletion guarantees, and no publicly documented exit fees—meaning the organization retains ownership of its core research assets and can leave without a hostage negotiation over data.</w:t>
            </w:r>
          </w:p>
        </w:tc>
        <w:tc>
          <w:tcPr>
            <w:shd w:color="F7FAFC" w:val="solid"/>
          </w:tcPr>
          <w:p>
            <w:r>
              <w:rPr>
                <w:rFonts w:ascii="Calibri" w:cs="Calibri" w:eastAsia="Calibri" w:hAnsi="Calibri"/>
                <w:color w:val="4A5568"/>
                <w:sz w:val="18"/>
                <w:szCs w:val="18"/>
              </w:rPr>
              <w:t xml:space="preserve">The accumulated analytical layer—coded taxonomies linked to specific video moments, the searchable insight library, and cross-project knowledge connections—is not portable as a functioning system. Rebuilding this in another tool would require significant manual effort. The longer and more extensively the organization uses Conveo's insight library as its institutional research memory, the higher the switching cost becomes. Additionally, bulk migration requires technical resources (API scripting) since no one-click account export exists.</w:t>
            </w:r>
          </w:p>
        </w:tc>
      </w:tr>
    </w:tbl>
    <w:p>
      <w:pPr>
        <w:pStyle w:val="Heading1"/>
        <w:spacing w:before="400" w:after="200"/>
      </w:pPr>
      <w:r>
        <w:rPr>
          <w:rFonts w:ascii="Calibri" w:cs="Calibri" w:eastAsia="Calibri" w:hAnsi="Calibri"/>
          <w:b/>
          <w:bCs/>
          <w:color w:val="2D3748"/>
          <w:sz w:val="36"/>
          <w:szCs w:val="36"/>
        </w:rPr>
        <w:t xml:space="preserve">Key Questions for Your Decision</w:t>
      </w:r>
    </w:p>
    <w:p>
      <w:pPr>
        <w:spacing w:after="160"/>
      </w:pPr>
      <w:r>
        <w:rPr>
          <w:rFonts w:ascii="Calibri" w:cs="Calibri" w:eastAsia="Calibri" w:hAnsi="Calibri"/>
          <w:color w:val="4A5568"/>
          <w:sz w:val="22"/>
          <w:szCs w:val="22"/>
        </w:rPr>
        <w:t xml:space="preserve">Consider these strategic questions based on your organizational context and priorities.</w:t>
      </w:r>
    </w:p>
    <w:p>
      <w:pPr>
        <w:spacing w:after="120"/>
        <w:ind w:left="360"/>
      </w:pPr>
      <w:r>
        <w:rPr>
          <w:rFonts w:ascii="Calibri" w:cs="Calibri" w:eastAsia="Calibri" w:hAnsi="Calibri"/>
          <w:b/>
          <w:bCs/>
          <w:color w:val="2D3748"/>
          <w:sz w:val="22"/>
          <w:szCs w:val="22"/>
        </w:rPr>
        <w:t xml:space="preserve">1. </w:t>
      </w:r>
      <w:r>
        <w:rPr>
          <w:rFonts w:ascii="Calibri" w:cs="Calibri" w:eastAsia="Calibri" w:hAnsi="Calibri"/>
          <w:color w:val="4A5568"/>
          <w:sz w:val="22"/>
          <w:szCs w:val="22"/>
        </w:rPr>
        <w:t xml:space="preserve">Is your research team's primary bottleneck speed and scale of qualitative research today, or is it the depth and nuance of insight generation—because Conveo optimizes aggressively for the former at the potential expense of the latter?</w:t>
      </w:r>
    </w:p>
    <w:p>
      <w:pPr>
        <w:spacing w:after="120"/>
        <w:ind w:left="360"/>
      </w:pPr>
      <w:r>
        <w:rPr>
          <w:rFonts w:ascii="Calibri" w:cs="Calibri" w:eastAsia="Calibri" w:hAnsi="Calibri"/>
          <w:b/>
          <w:bCs/>
          <w:color w:val="2D3748"/>
          <w:sz w:val="22"/>
          <w:szCs w:val="22"/>
        </w:rPr>
        <w:t xml:space="preserve">2. </w:t>
      </w:r>
      <w:r>
        <w:rPr>
          <w:rFonts w:ascii="Calibri" w:cs="Calibri" w:eastAsia="Calibri" w:hAnsi="Calibri"/>
          <w:color w:val="4A5568"/>
          <w:sz w:val="22"/>
          <w:szCs w:val="22"/>
        </w:rPr>
        <w:t xml:space="preserve">How important is it to your organization that the research function develops portable AI skills (prompt engineering, model evaluation, workflow design) versus simply getting faster research outputs—and does your broader AI strategy depend on the research team as a source of that organizational learning?</w:t>
      </w:r>
    </w:p>
    <w:p>
      <w:pPr>
        <w:spacing w:after="120"/>
        <w:ind w:left="360"/>
      </w:pPr>
      <w:r>
        <w:rPr>
          <w:rFonts w:ascii="Calibri" w:cs="Calibri" w:eastAsia="Calibri" w:hAnsi="Calibri"/>
          <w:b/>
          <w:bCs/>
          <w:color w:val="2D3748"/>
          <w:sz w:val="22"/>
          <w:szCs w:val="22"/>
        </w:rPr>
        <w:t xml:space="preserve">3. </w:t>
      </w:r>
      <w:r>
        <w:rPr>
          <w:rFonts w:ascii="Calibri" w:cs="Calibri" w:eastAsia="Calibri" w:hAnsi="Calibri"/>
          <w:color w:val="4A5568"/>
          <w:sz w:val="22"/>
          <w:szCs w:val="22"/>
        </w:rPr>
        <w:t xml:space="preserve">What is your tolerance for accumulating non-portable switching costs over time, given that Conveo's analytical layer (coded taxonomies, cross-project insight libraries) becomes harder to leave the more value you build inside it—and do you have a realistic timeline for when you'd reassess?</w:t>
      </w:r>
    </w:p>
    <w:p>
      <w:pPr>
        <w:spacing w:after="120"/>
        <w:ind w:left="360"/>
      </w:pPr>
      <w:r>
        <w:rPr>
          <w:rFonts w:ascii="Calibri" w:cs="Calibri" w:eastAsia="Calibri" w:hAnsi="Calibri"/>
          <w:b/>
          <w:bCs/>
          <w:color w:val="2D3748"/>
          <w:sz w:val="22"/>
          <w:szCs w:val="22"/>
        </w:rPr>
        <w:t xml:space="preserve">4. </w:t>
      </w:r>
      <w:r>
        <w:rPr>
          <w:rFonts w:ascii="Calibri" w:cs="Calibri" w:eastAsia="Calibri" w:hAnsi="Calibri"/>
          <w:color w:val="4A5568"/>
          <w:sz w:val="22"/>
          <w:szCs w:val="22"/>
        </w:rPr>
        <w:t xml:space="preserve">Does your organization have research use cases that require sensitive, complex, or emotionally nuanced moderation where AI interview quality is unproven—and if so, are you prepared to maintain a parallel human moderation capability rather than fully replacing it?</w:t>
      </w:r>
    </w:p>
    <w:p>
      <w:pPr>
        <w:spacing w:after="120"/>
        <w:ind w:left="360"/>
      </w:pPr>
      <w:r>
        <w:rPr>
          <w:rFonts w:ascii="Calibri" w:cs="Calibri" w:eastAsia="Calibri" w:hAnsi="Calibri"/>
          <w:b/>
          <w:bCs/>
          <w:color w:val="2D3748"/>
          <w:sz w:val="22"/>
          <w:szCs w:val="22"/>
        </w:rPr>
        <w:t xml:space="preserve">5. </w:t>
      </w:r>
      <w:r>
        <w:rPr>
          <w:rFonts w:ascii="Calibri" w:cs="Calibri" w:eastAsia="Calibri" w:hAnsi="Calibri"/>
          <w:color w:val="4A5568"/>
          <w:sz w:val="22"/>
          <w:szCs w:val="22"/>
        </w:rPr>
        <w:t xml:space="preserve">How do you evaluate the risk of single-model-provider dependency (Google/Gemini) in a market where foundation model leadership is shifting rapidly—and would a material improvement in a non-Google model for qualitative analysis tasks leave you unable to benefit?</w:t>
      </w:r>
    </w:p>
    <w:p>
      <w:pPr>
        <w:spacing w:after="120"/>
        <w:ind w:left="360"/>
      </w:pPr>
      <w:r>
        <w:rPr>
          <w:rFonts w:ascii="Calibri" w:cs="Calibri" w:eastAsia="Calibri" w:hAnsi="Calibri"/>
          <w:b/>
          <w:bCs/>
          <w:color w:val="2D3748"/>
          <w:sz w:val="22"/>
          <w:szCs w:val="22"/>
        </w:rPr>
        <w:t xml:space="preserve">6. </w:t>
      </w:r>
      <w:r>
        <w:rPr>
          <w:rFonts w:ascii="Calibri" w:cs="Calibri" w:eastAsia="Calibri" w:hAnsi="Calibri"/>
          <w:color w:val="4A5568"/>
          <w:sz w:val="22"/>
          <w:szCs w:val="22"/>
        </w:rPr>
        <w:t xml:space="preserve">Is Conveo likely to be one of many AI tools your research team uses (portfolio approach), or would it become the primary AI touchpoint for the function—because the opacity and lock-in concerns are significantly more consequential in the latter scenario?</w:t>
      </w:r>
    </w:p>
    <w:p>
      <w:pPr>
        <w:pBdr>
          <w:top w:val="single" w:color="E2E8F0" w:sz="6"/>
        </w:pBdr>
        <w:spacing w:before="600"/>
      </w:pPr>
    </w:p>
    <w:p>
      <w:pPr>
        <w:spacing w:before="200" w:after="60"/>
        <w:jc w:val="center"/>
      </w:pPr>
      <w:r>
        <w:rPr>
          <w:rFonts w:ascii="Calibri" w:cs="Calibri" w:eastAsia="Calibri" w:hAnsi="Calibri"/>
          <w:color w:val="4A5568"/>
          <w:spacing w:val="60"/>
          <w:sz w:val="18"/>
          <w:szCs w:val="18"/>
        </w:rPr>
        <w:t xml:space="preserve">CONFIDENTIAL — FOR INTERNAL USE ONLY</w:t>
      </w:r>
    </w:p>
    <w:p>
      <w:pPr>
        <w:spacing w:after="60"/>
        <w:jc w:val="center"/>
      </w:pPr>
      <w:r>
        <w:rPr>
          <w:rFonts w:ascii="Calibri" w:cs="Calibri" w:eastAsia="Calibri" w:hAnsi="Calibri"/>
          <w:color w:val="4A5568"/>
          <w:sz w:val="18"/>
          <w:szCs w:val="18"/>
        </w:rPr>
        <w:t xml:space="preserve">This evaluation assesses vendors on immediate utility and long-term organizational AI capacity building.</w:t>
      </w:r>
    </w:p>
    <w:p>
      <w:pPr>
        <w:jc w:val="center"/>
      </w:pPr>
      <w:r>
        <w:rPr>
          <w:rFonts w:ascii="Calibri" w:cs="Calibri" w:eastAsia="Calibri" w:hAnsi="Calibri"/>
          <w:color w:val="4A5568"/>
          <w:sz w:val="16"/>
          <w:szCs w:val="16"/>
        </w:rPr>
        <w:t xml:space="preserve">Version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2026-06-18T12:03:33.854Z</dcterms:created>
  <dcterms:modified xsi:type="dcterms:W3CDTF">2026-06-18T12:03:33.854Z</dcterms:modified>
</cp:coreProperties>
</file>

<file path=docProps/custom.xml><?xml version="1.0" encoding="utf-8"?>
<Properties xmlns="http://schemas.openxmlformats.org/officeDocument/2006/custom-properties" xmlns:vt="http://schemas.openxmlformats.org/officeDocument/2006/docPropsVTypes"/>
</file>