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2D3748"/>
          <w:sz w:val="56"/>
          <w:szCs w:val="56"/>
        </w:rPr>
        <w:t xml:space="preserve">Glean</w:t>
      </w:r>
    </w:p>
    <w:p>
      <w:pPr>
        <w:spacing w:after="40"/>
      </w:pPr>
      <w:r>
        <w:rPr>
          <w:rFonts w:ascii="Calibri" w:cs="Calibri" w:eastAsia="Calibri" w:hAnsi="Calibri"/>
          <w:color w:val="4A5568"/>
          <w:spacing w:val="120"/>
          <w:sz w:val="20"/>
          <w:szCs w:val="20"/>
        </w:rPr>
        <w:t xml:space="preserve">VENDOR EVALUATION REPORT</w:t>
      </w:r>
    </w:p>
    <w:p>
      <w:pPr>
        <w:spacing w:after="40"/>
      </w:pPr>
      <w:r>
        <w:rPr>
          <w:rFonts w:ascii="Calibri" w:cs="Calibri" w:eastAsia="Calibri" w:hAnsi="Calibri"/>
          <w:color w:val="4A5568"/>
          <w:sz w:val="22"/>
          <w:szCs w:val="22"/>
        </w:rPr>
        <w:t xml:space="preserve">Enterprise AI Search &amp; Knowledge Management</w:t>
      </w:r>
    </w:p>
    <w:p>
      <w:pPr>
        <w:spacing w:after="400"/>
      </w:pPr>
      <w:r>
        <w:rPr>
          <w:rFonts w:ascii="Calibri" w:cs="Calibri" w:eastAsia="Calibri" w:hAnsi="Calibri"/>
          <w:color w:val="4A5568"/>
          <w:sz w:val="18"/>
          <w:szCs w:val="18"/>
        </w:rPr>
        <w:t xml:space="preserve">Version 1.0  •  June 2026</w:t>
      </w:r>
    </w:p>
    <w:p>
      <w:pPr>
        <w:pBdr>
          <w:bottom w:val="single" w:color="E2E8F0" w:sz="6"/>
        </w:pBdr>
        <w:spacing w:after="300"/>
      </w:pPr>
    </w:p>
    <w:p>
      <w:pPr>
        <w:pStyle w:val="Heading1"/>
        <w:spacing w:before="200" w:after="200"/>
      </w:pPr>
      <w:r>
        <w:rPr>
          <w:rFonts w:ascii="Calibri" w:cs="Calibri" w:eastAsia="Calibri" w:hAnsi="Calibri"/>
          <w:b/>
          <w:bCs/>
          <w:color w:val="2D3748"/>
          <w:sz w:val="36"/>
          <w:szCs w:val="36"/>
        </w:rPr>
        <w:t xml:space="preserve">Executive Summary</w:t>
      </w:r>
    </w:p>
    <w:p>
      <w:pPr>
        <w:spacing w:after="100"/>
      </w:pPr>
      <w:r>
        <w:rPr>
          <w:rFonts w:ascii="Calibri" w:cs="Calibri" w:eastAsia="Calibri" w:hAnsi="Calibri"/>
          <w:b/>
          <w:bCs/>
          <w:color w:val="4A5568"/>
          <w:sz w:val="18"/>
          <w:szCs w:val="18"/>
        </w:rPr>
        <w:t xml:space="preserve">KEY TAKEAWAY</w:t>
      </w:r>
    </w:p>
    <w:p>
      <w:pPr>
        <w:spacing w:after="240"/>
      </w:pPr>
      <w:r>
        <w:rPr>
          <w:rFonts w:ascii="Calibri" w:cs="Calibri" w:eastAsia="Calibri" w:hAnsi="Calibri"/>
          <w:b/>
          <w:bCs/>
          <w:color w:val="2D3748"/>
          <w:sz w:val="24"/>
          <w:szCs w:val="24"/>
        </w:rPr>
        <w:t xml:space="preserve">Glean delivers exceptional enterprise search utility by connecting 100+ apps into a unified knowledge layer, but raises serious concerns around AI transparency, proprietary knowledge graph lock-in, and zero transferable learning for your organization.</w:t>
      </w:r>
    </w:p>
    <w:p>
      <w:pPr>
        <w:spacing w:after="200"/>
      </w:pPr>
      <w:r>
        <w:rPr>
          <w:rFonts w:ascii="Calibri" w:cs="Calibri" w:eastAsia="Calibri" w:hAnsi="Calibri"/>
          <w:color w:val="4A5568"/>
          <w:sz w:val="22"/>
          <w:szCs w:val="22"/>
        </w:rPr>
        <w:t xml:space="preserve">Glean solves a genuine and costly enterprise problem. Organizations drowning in information silos across Slack, Drive, Confluence, Jira, and dozens of other tools will see immediate, measurable productivity gains. The product is polished, onboarding is frictionless, and the search quality is among the best in class.</w:t>
      </w:r>
    </w:p>
    <w:p>
      <w:pPr>
        <w:spacing w:after="200"/>
      </w:pPr>
      <w:r>
        <w:rPr>
          <w:rFonts w:ascii="Calibri" w:cs="Calibri" w:eastAsia="Calibri" w:hAnsi="Calibri"/>
          <w:color w:val="4A5568"/>
          <w:sz w:val="22"/>
          <w:szCs w:val="22"/>
        </w:rPr>
        <w:t xml:space="preserve">However, Glean's AI layer is entirely opaque. Users cannot see system prompts, understand how the knowledge graph prioritizes results, or select alternative models. The 'it just works' design philosophy trades organizational AI literacy for convenience—a decision with compounding long-term costs.</w:t>
      </w:r>
    </w:p>
    <w:p>
      <w:pPr>
        <w:spacing w:after="200"/>
      </w:pPr>
      <w:r>
        <w:rPr>
          <w:rFonts w:ascii="Calibri" w:cs="Calibri" w:eastAsia="Calibri" w:hAnsi="Calibri"/>
          <w:color w:val="4A5568"/>
          <w:sz w:val="22"/>
          <w:szCs w:val="22"/>
        </w:rPr>
        <w:t xml:space="preserve">Most critically, Glean's proprietary knowledge graph creates deep lock-in. The connections, enrichments, and organizational intelligence built inside Glean cannot be exported. The longer you use it, the harder it becomes to leave. Organizations should enter this relationship with eyes wide open about what they're trading away.</w:t>
      </w:r>
    </w:p>
    <w:p>
      <w:pPr>
        <w:pStyle w:val="Heading1"/>
        <w:spacing w:before="400" w:after="200"/>
      </w:pPr>
      <w:r>
        <w:rPr>
          <w:rFonts w:ascii="Calibri" w:cs="Calibri" w:eastAsia="Calibri" w:hAnsi="Calibri"/>
          <w:b/>
          <w:bCs/>
          <w:color w:val="2D3748"/>
          <w:sz w:val="36"/>
          <w:szCs w:val="36"/>
        </w:rPr>
        <w:t xml:space="preserve">Evaluation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2D3748" w:val="solid"/>
          </w:tcPr>
          <w:p>
            <w:r>
              <w:rPr>
                <w:rFonts w:ascii="Calibri" w:cs="Calibri" w:eastAsia="Calibri" w:hAnsi="Calibri"/>
                <w:b/>
                <w:bCs/>
                <w:color w:val="FFFFFF"/>
                <w:sz w:val="20"/>
                <w:szCs w:val="20"/>
              </w:rPr>
              <w:t xml:space="preserve">Criterion</w:t>
            </w:r>
          </w:p>
        </w:tc>
        <w:tc>
          <w:tcPr>
            <w:tcW w:type="pct" w:w="25%"/>
            <w:shd w:color="2D3748" w:val="solid"/>
          </w:tcPr>
          <w:p>
            <w:r>
              <w:rPr>
                <w:rFonts w:ascii="Calibri" w:cs="Calibri" w:eastAsia="Calibri" w:hAnsi="Calibri"/>
                <w:b/>
                <w:bCs/>
                <w:color w:val="FFFFFF"/>
                <w:sz w:val="20"/>
                <w:szCs w:val="20"/>
              </w:rPr>
              <w:t xml:space="preserve">Focus Area</w:t>
            </w:r>
          </w:p>
        </w:tc>
        <w:tc>
          <w:tcPr>
            <w:tcW w:type="pct" w:w="25%"/>
            <w:shd w:color="2D3748" w:val="solid"/>
          </w:tcPr>
          <w:p>
            <w:pPr>
              <w:jc w:val="center"/>
            </w:pPr>
            <w:r>
              <w:rPr>
                <w:rFonts w:ascii="Calibri" w:cs="Calibri" w:eastAsia="Calibri" w:hAnsi="Calibri"/>
                <w:b/>
                <w:bCs/>
                <w:color w:val="FFFFFF"/>
                <w:sz w:val="20"/>
                <w:szCs w:val="20"/>
              </w:rPr>
              <w:t xml:space="preserve">Result</w:t>
            </w:r>
          </w:p>
        </w:tc>
      </w:tr>
      <w:tr>
        <w:tc>
          <w:tcPr>
            <w:shd w:color="FFFFFF" w:val="solid"/>
          </w:tcPr>
          <w:p>
            <w:r>
              <w:rPr>
                <w:rFonts w:ascii="Calibri" w:cs="Calibri" w:eastAsia="Calibri" w:hAnsi="Calibri"/>
                <w:b/>
                <w:bCs/>
                <w:color w:val="2D3748"/>
                <w:sz w:val="20"/>
                <w:szCs w:val="20"/>
              </w:rPr>
              <w:t xml:space="preserve">SEE</w:t>
            </w:r>
          </w:p>
        </w:tc>
        <w:tc>
          <w:tcPr>
            <w:shd w:color="FFFFFF" w:val="solid"/>
          </w:tcPr>
          <w:p>
            <w:r>
              <w:rPr>
                <w:rFonts w:ascii="Calibri" w:cs="Calibri" w:eastAsia="Calibri" w:hAnsi="Calibri"/>
                <w:color w:val="4A5568"/>
                <w:sz w:val="20"/>
                <w:szCs w:val="20"/>
              </w:rPr>
              <w:t xml:space="preserve">Transparency &amp; Visibility</w:t>
            </w:r>
          </w:p>
        </w:tc>
        <w:tc>
          <w:tcPr>
            <w:shd w:color="FFFFFF" w:val="solid"/>
          </w:tcPr>
          <w:p>
            <w:pPr>
              <w:jc w:val="center"/>
            </w:pPr>
            <w:r>
              <w:rPr>
                <w:rFonts w:ascii="Calibri" w:cs="Calibri" w:eastAsia="Calibri" w:hAnsi="Calibri"/>
                <w:b/>
                <w:bCs/>
                <w:color w:val="E53E3E"/>
                <w:sz w:val="20"/>
                <w:szCs w:val="20"/>
              </w:rPr>
              <w:t xml:space="preserve">Fail</w:t>
            </w:r>
          </w:p>
        </w:tc>
      </w:tr>
      <w:tr>
        <w:tc>
          <w:tcPr>
            <w:shd w:color="F7FAFC" w:val="solid"/>
          </w:tcPr>
          <w:p>
            <w:r>
              <w:rPr>
                <w:rFonts w:ascii="Calibri" w:cs="Calibri" w:eastAsia="Calibri" w:hAnsi="Calibri"/>
                <w:b/>
                <w:bCs/>
                <w:color w:val="2D3748"/>
                <w:sz w:val="20"/>
                <w:szCs w:val="20"/>
              </w:rPr>
              <w:t xml:space="preserve">CHANGE</w:t>
            </w:r>
          </w:p>
        </w:tc>
        <w:tc>
          <w:tcPr>
            <w:shd w:color="F7FAFC" w:val="solid"/>
          </w:tcPr>
          <w:p>
            <w:r>
              <w:rPr>
                <w:rFonts w:ascii="Calibri" w:cs="Calibri" w:eastAsia="Calibri" w:hAnsi="Calibri"/>
                <w:color w:val="4A5568"/>
                <w:sz w:val="20"/>
                <w:szCs w:val="20"/>
              </w:rPr>
              <w:t xml:space="preserve">Customizability &amp; Control</w:t>
            </w:r>
          </w:p>
        </w:tc>
        <w:tc>
          <w:tcPr>
            <w:shd w:color="F7FAFC" w:val="solid"/>
          </w:tcPr>
          <w:p>
            <w:pPr>
              <w:jc w:val="center"/>
            </w:pPr>
            <w:r>
              <w:rPr>
                <w:rFonts w:ascii="Calibri" w:cs="Calibri" w:eastAsia="Calibri" w:hAnsi="Calibri"/>
                <w:b/>
                <w:bCs/>
                <w:color w:val="D69E2E"/>
                <w:sz w:val="20"/>
                <w:szCs w:val="20"/>
              </w:rPr>
              <w:t xml:space="preserve">Partial</w:t>
            </w:r>
          </w:p>
        </w:tc>
      </w:tr>
      <w:tr>
        <w:tc>
          <w:tcPr>
            <w:shd w:color="FFFFFF" w:val="solid"/>
          </w:tcPr>
          <w:p>
            <w:r>
              <w:rPr>
                <w:rFonts w:ascii="Calibri" w:cs="Calibri" w:eastAsia="Calibri" w:hAnsi="Calibri"/>
                <w:b/>
                <w:bCs/>
                <w:color w:val="2D3748"/>
                <w:sz w:val="20"/>
                <w:szCs w:val="20"/>
              </w:rPr>
              <w:t xml:space="preserve">ADAPT</w:t>
            </w:r>
          </w:p>
        </w:tc>
        <w:tc>
          <w:tcPr>
            <w:shd w:color="FFFFFF" w:val="solid"/>
          </w:tcPr>
          <w:p>
            <w:r>
              <w:rPr>
                <w:rFonts w:ascii="Calibri" w:cs="Calibri" w:eastAsia="Calibri" w:hAnsi="Calibri"/>
                <w:color w:val="4A5568"/>
                <w:sz w:val="20"/>
                <w:szCs w:val="20"/>
              </w:rPr>
              <w:t xml:space="preserve">Vendor Agility &amp; Innovation</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USE</w:t>
            </w:r>
          </w:p>
        </w:tc>
        <w:tc>
          <w:tcPr>
            <w:shd w:color="F7FAFC" w:val="solid"/>
          </w:tcPr>
          <w:p>
            <w:r>
              <w:rPr>
                <w:rFonts w:ascii="Calibri" w:cs="Calibri" w:eastAsia="Calibri" w:hAnsi="Calibri"/>
                <w:color w:val="4A5568"/>
                <w:sz w:val="20"/>
                <w:szCs w:val="20"/>
              </w:rPr>
              <w:t xml:space="preserve">Genuine Utility &amp; Value</w:t>
            </w:r>
          </w:p>
        </w:tc>
        <w:tc>
          <w:tcPr>
            <w:shd w:color="F7FAFC" w:val="solid"/>
          </w:tcPr>
          <w:p>
            <w:pPr>
              <w:jc w:val="center"/>
            </w:pPr>
            <w:r>
              <w:rPr>
                <w:rFonts w:ascii="Calibri" w:cs="Calibri" w:eastAsia="Calibri" w:hAnsi="Calibri"/>
                <w:b/>
                <w:bCs/>
                <w:color w:val="38A169"/>
                <w:sz w:val="20"/>
                <w:szCs w:val="20"/>
              </w:rPr>
              <w:t xml:space="preserve">Pass</w:t>
            </w:r>
          </w:p>
        </w:tc>
      </w:tr>
      <w:tr>
        <w:tc>
          <w:tcPr>
            <w:shd w:color="FFFFFF" w:val="solid"/>
          </w:tcPr>
          <w:p>
            <w:r>
              <w:rPr>
                <w:rFonts w:ascii="Calibri" w:cs="Calibri" w:eastAsia="Calibri" w:hAnsi="Calibri"/>
                <w:b/>
                <w:bCs/>
                <w:color w:val="2D3748"/>
                <w:sz w:val="20"/>
                <w:szCs w:val="20"/>
              </w:rPr>
              <w:t xml:space="preserve">LEARN</w:t>
            </w:r>
          </w:p>
        </w:tc>
        <w:tc>
          <w:tcPr>
            <w:shd w:color="FFFFFF" w:val="solid"/>
          </w:tcPr>
          <w:p>
            <w:r>
              <w:rPr>
                <w:rFonts w:ascii="Calibri" w:cs="Calibri" w:eastAsia="Calibri" w:hAnsi="Calibri"/>
                <w:color w:val="4A5568"/>
                <w:sz w:val="20"/>
                <w:szCs w:val="20"/>
              </w:rPr>
              <w:t xml:space="preserve">Transferable Knowledge</w:t>
            </w:r>
          </w:p>
        </w:tc>
        <w:tc>
          <w:tcPr>
            <w:shd w:color="FFFFFF" w:val="solid"/>
          </w:tcPr>
          <w:p>
            <w:pPr>
              <w:jc w:val="center"/>
            </w:pPr>
            <w:r>
              <w:rPr>
                <w:rFonts w:ascii="Calibri" w:cs="Calibri" w:eastAsia="Calibri" w:hAnsi="Calibri"/>
                <w:b/>
                <w:bCs/>
                <w:color w:val="E53E3E"/>
                <w:sz w:val="20"/>
                <w:szCs w:val="20"/>
              </w:rPr>
              <w:t xml:space="preserve">Fail</w:t>
            </w:r>
          </w:p>
        </w:tc>
      </w:tr>
      <w:tr>
        <w:tc>
          <w:tcPr>
            <w:shd w:color="F7FAFC" w:val="solid"/>
          </w:tcPr>
          <w:p>
            <w:r>
              <w:rPr>
                <w:rFonts w:ascii="Calibri" w:cs="Calibri" w:eastAsia="Calibri" w:hAnsi="Calibri"/>
                <w:b/>
                <w:bCs/>
                <w:color w:val="2D3748"/>
                <w:sz w:val="20"/>
                <w:szCs w:val="20"/>
              </w:rPr>
              <w:t xml:space="preserve">EXIT</w:t>
            </w:r>
          </w:p>
        </w:tc>
        <w:tc>
          <w:tcPr>
            <w:shd w:color="F7FAFC" w:val="solid"/>
          </w:tcPr>
          <w:p>
            <w:r>
              <w:rPr>
                <w:rFonts w:ascii="Calibri" w:cs="Calibri" w:eastAsia="Calibri" w:hAnsi="Calibri"/>
                <w:color w:val="4A5568"/>
                <w:sz w:val="20"/>
                <w:szCs w:val="20"/>
              </w:rPr>
              <w:t xml:space="preserve">Portability &amp; Migration</w:t>
            </w:r>
          </w:p>
        </w:tc>
        <w:tc>
          <w:tcPr>
            <w:shd w:color="F7FAFC" w:val="solid"/>
          </w:tcPr>
          <w:p>
            <w:pPr>
              <w:jc w:val="center"/>
            </w:pPr>
            <w:r>
              <w:rPr>
                <w:rFonts w:ascii="Calibri" w:cs="Calibri" w:eastAsia="Calibri" w:hAnsi="Calibri"/>
                <w:b/>
                <w:bCs/>
                <w:color w:val="E53E3E"/>
                <w:sz w:val="20"/>
                <w:szCs w:val="20"/>
              </w:rPr>
              <w:t xml:space="preserve">Fail</w:t>
            </w:r>
          </w:p>
        </w:tc>
      </w:tr>
    </w:tbl>
    <w:p>
      <w:pPr>
        <w:pStyle w:val="Heading1"/>
        <w:spacing w:before="400" w:after="200"/>
      </w:pPr>
      <w:r>
        <w:rPr>
          <w:rFonts w:ascii="Calibri" w:cs="Calibri" w:eastAsia="Calibri" w:hAnsi="Calibri"/>
          <w:b/>
          <w:bCs/>
          <w:color w:val="2D3748"/>
          <w:sz w:val="36"/>
          <w:szCs w:val="36"/>
        </w:rPr>
        <w:t xml:space="preserve">Detailed Evaluation</w:t>
      </w:r>
    </w:p>
    <w:p>
      <w:pPr>
        <w:pStyle w:val="Heading2"/>
        <w:spacing w:before="360" w:after="80"/>
      </w:pPr>
      <w:r>
        <w:rPr>
          <w:rFonts w:ascii="Calibri" w:cs="Calibri" w:eastAsia="Calibri" w:hAnsi="Calibri"/>
          <w:b/>
          <w:bCs/>
          <w:color w:val="2D3748"/>
          <w:sz w:val="28"/>
          <w:szCs w:val="28"/>
        </w:rPr>
        <w:t xml:space="preserve">SEE — Transparency &amp; Visibility</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Glean provides zero visibility into its AI operations. The knowledge graph construction process, ranking algorithms, and LLM prompt engineering are entirely hidden. Users cannot inspect how results are ranked, why certain documents are prioritized, or what model is generating AI answers. When asked during evaluation, Glean characterized these details as competitive advantages that cannot be disclosed.</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Clean, simple interface that requires no AI expertise to use</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Any ability to verify AI decision-making; No organizational learning about how enterprise AI search works under the hood</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get any visibility into how the knowledge graph ranks and retrieves results?</w:t>
      </w:r>
    </w:p>
    <w:p>
      <w:pPr>
        <w:pStyle w:val="ListParagraph"/>
        <w:numPr>
          <w:ilvl w:val="0"/>
          <w:numId w:val="1"/>
        </w:numPr>
        <w:spacing w:after="40"/>
        <w:ind w:left="360"/>
      </w:pPr>
      <w:r>
        <w:rPr>
          <w:rFonts w:ascii="Calibri" w:cs="Calibri" w:eastAsia="Calibri" w:hAnsi="Calibri"/>
          <w:color w:val="4A5568"/>
          <w:sz w:val="20"/>
          <w:szCs w:val="20"/>
        </w:rPr>
        <w:t xml:space="preserve">What model(s) power Glean's AI answers, and how are prompts constructed?</w:t>
      </w:r>
    </w:p>
    <w:p>
      <w:pPr>
        <w:pStyle w:val="ListParagraph"/>
        <w:numPr>
          <w:ilvl w:val="0"/>
          <w:numId w:val="1"/>
        </w:numPr>
        <w:spacing w:after="40"/>
        <w:ind w:left="360"/>
      </w:pPr>
      <w:r>
        <w:rPr>
          <w:rFonts w:ascii="Calibri" w:cs="Calibri" w:eastAsia="Calibri" w:hAnsi="Calibri"/>
          <w:color w:val="4A5568"/>
          <w:sz w:val="20"/>
          <w:szCs w:val="20"/>
        </w:rPr>
        <w:t xml:space="preserve">Is there a transparency roadmap for enterprise tier customers?</w:t>
      </w:r>
    </w:p>
    <w:p>
      <w:pPr>
        <w:pStyle w:val="Heading2"/>
        <w:spacing w:before="360" w:after="80"/>
      </w:pPr>
      <w:r>
        <w:rPr>
          <w:rFonts w:ascii="Calibri" w:cs="Calibri" w:eastAsia="Calibri" w:hAnsi="Calibri"/>
          <w:b/>
          <w:bCs/>
          <w:color w:val="2D3748"/>
          <w:sz w:val="28"/>
          <w:szCs w:val="28"/>
        </w:rPr>
        <w:t xml:space="preserve">CHANGE — Customizability &amp; Control</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Glean allows administrators to configure data source priorities, create custom search scopes, and define organizational taxonomies. These are meaningful customizations. However, the core AI behavior—how answers are generated, how context windows are managed, which models are used—cannot be modified. You're accepting Glean's one-size-fits-all AI configuration for every use case in your organization.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Useful administrative controls for search scope and data source weighting</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Ability to tune AI behavior for specific departments, use cases, or sensitivity levels</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different departments or teams have different AI behavior configurations?</w:t>
      </w:r>
    </w:p>
    <w:p>
      <w:pPr>
        <w:pStyle w:val="ListParagraph"/>
        <w:numPr>
          <w:ilvl w:val="0"/>
          <w:numId w:val="1"/>
        </w:numPr>
        <w:spacing w:after="40"/>
        <w:ind w:left="360"/>
      </w:pPr>
      <w:r>
        <w:rPr>
          <w:rFonts w:ascii="Calibri" w:cs="Calibri" w:eastAsia="Calibri" w:hAnsi="Calibri"/>
          <w:color w:val="4A5568"/>
          <w:sz w:val="20"/>
          <w:szCs w:val="20"/>
        </w:rPr>
        <w:t xml:space="preserve">Is there an API for programmatic customization of search behavior?</w:t>
      </w:r>
    </w:p>
    <w:p>
      <w:pPr>
        <w:pStyle w:val="ListParagraph"/>
        <w:numPr>
          <w:ilvl w:val="0"/>
          <w:numId w:val="1"/>
        </w:numPr>
        <w:spacing w:after="40"/>
        <w:ind w:left="360"/>
      </w:pPr>
      <w:r>
        <w:rPr>
          <w:rFonts w:ascii="Calibri" w:cs="Calibri" w:eastAsia="Calibri" w:hAnsi="Calibri"/>
          <w:color w:val="4A5568"/>
          <w:sz w:val="20"/>
          <w:szCs w:val="20"/>
        </w:rPr>
        <w:t xml:space="preserve">What customization capabilities are on the roadmap for the next 12 months?</w:t>
      </w:r>
    </w:p>
    <w:p>
      <w:pPr>
        <w:pStyle w:val="Heading2"/>
        <w:spacing w:before="360" w:after="80"/>
      </w:pPr>
      <w:r>
        <w:rPr>
          <w:rFonts w:ascii="Calibri" w:cs="Calibri" w:eastAsia="Calibri" w:hAnsi="Calibri"/>
          <w:b/>
          <w:bCs/>
          <w:color w:val="2D3748"/>
          <w:sz w:val="28"/>
          <w:szCs w:val="28"/>
        </w:rPr>
        <w:t xml:space="preserve">ADAPT — Vendor Agility &amp; Innovation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Glean has shipped significant product updates including AI assistant capabilities and generative answers. Their engineering team is clearly investing in staying current. However, model updates lag frontier releases by 3-6 months, and customers have no ability to independently adopt new models. Glean controls the pace of AI advancement for your organization.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Vendor handles all model upgrades and testing—no migration burden</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Ability to leverage cutting-edge AI capabilities when they become available; Dependence on Glean's prioritization decisions</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What is your typical timeline for adopting new foundation models after release?</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opt into beta AI features early?</w:t>
      </w:r>
    </w:p>
    <w:p>
      <w:pPr>
        <w:pStyle w:val="Heading2"/>
        <w:spacing w:before="360" w:after="80"/>
      </w:pPr>
      <w:r>
        <w:rPr>
          <w:rFonts w:ascii="Calibri" w:cs="Calibri" w:eastAsia="Calibri" w:hAnsi="Calibri"/>
          <w:b/>
          <w:bCs/>
          <w:color w:val="2D3748"/>
          <w:sz w:val="28"/>
          <w:szCs w:val="28"/>
        </w:rPr>
        <w:t xml:space="preserve">USE — Genuine Utility &amp; Value</w:t>
      </w:r>
      <w:r>
        <w:t xml:space="preserve">   </w:t>
      </w:r>
      <w:r>
        <w:rPr>
          <w:rFonts w:ascii="Calibri" w:cs="Calibri" w:eastAsia="Calibri" w:hAnsi="Calibri"/>
          <w:b/>
          <w:bCs/>
          <w:color w:val="38A169"/>
          <w:sz w:val="22"/>
          <w:szCs w:val="22"/>
        </w:rPr>
        <w:t xml:space="preserve">[Pass]</w:t>
      </w:r>
    </w:p>
    <w:p>
      <w:pPr>
        <w:spacing w:after="200"/>
      </w:pPr>
      <w:r>
        <w:rPr>
          <w:rFonts w:ascii="Calibri" w:cs="Calibri" w:eastAsia="Calibri" w:hAnsi="Calibri"/>
          <w:color w:val="4A5568"/>
          <w:sz w:val="22"/>
          <w:szCs w:val="22"/>
        </w:rPr>
        <w:t xml:space="preserve">Glean delivers genuine, measurable value. The product connects to 100+ enterprise applications out of the box, and search quality is consistently strong across evaluated scenarios. Customer case studies report 2-4x improvements in information retrieval speed. The onboarding experience is smooth, and time-to-value is remarkably short. This is Glean's clear strength—it solves a real, expensive problem effectively.</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Best-in-class enterprise search that provides immediate, measurable productivity improvements across the organization</w:t>
      </w:r>
    </w:p>
    <w:p>
      <w:pPr>
        <w:pStyle w:val="Heading2"/>
        <w:spacing w:before="360" w:after="80"/>
      </w:pPr>
      <w:r>
        <w:rPr>
          <w:rFonts w:ascii="Calibri" w:cs="Calibri" w:eastAsia="Calibri" w:hAnsi="Calibri"/>
          <w:b/>
          <w:bCs/>
          <w:color w:val="2D3748"/>
          <w:sz w:val="28"/>
          <w:szCs w:val="28"/>
        </w:rPr>
        <w:t xml:space="preserve">LEARN — Transferable Knowledge</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Using Glean teaches your team how to use Glean—nothing more. The search bar interface deliberately abstracts away all AI concepts. Users develop no understanding of retrieval-augmented generation, embedding models, context windows, or prompt engineering. This is convenient but strategically costly. Your workforce remains entirely dependent on Glean's specific interface rather than building transferable AI competency.</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Zero training overhead—anyone who can use Google can use Glean</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Opportunity to build organizational AI literacy through daily tool usage; Workforce AI skills remain at zero regardless of usage duration</w:t>
      </w:r>
    </w:p>
    <w:p>
      <w:pPr>
        <w:pStyle w:val="Heading2"/>
        <w:spacing w:before="360" w:after="80"/>
      </w:pPr>
      <w:r>
        <w:rPr>
          <w:rFonts w:ascii="Calibri" w:cs="Calibri" w:eastAsia="Calibri" w:hAnsi="Calibri"/>
          <w:b/>
          <w:bCs/>
          <w:color w:val="2D3748"/>
          <w:sz w:val="28"/>
          <w:szCs w:val="28"/>
        </w:rPr>
        <w:t xml:space="preserve">EXIT — Portability &amp; Migration</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Glean's knowledge graph—the connections, relationships, and enrichments built on top of your raw data—is entirely proprietary and cannot be exported. While your source documents remain in their original systems (Slack, Drive, etc.), the organizational intelligence layer that Glean builds is trapped. The longer and more extensively you use Glean, the more valuable this trapped layer becomes, and the more painful switching becomes. This is classic strategic lock-in.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All organizational knowledge enrichment is locked to Glean; Switching costs increase linearly with usage duration and depth</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What exactly can be exported from Glean if we terminate the contract?</w:t>
      </w:r>
    </w:p>
    <w:p>
      <w:pPr>
        <w:pStyle w:val="ListParagraph"/>
        <w:numPr>
          <w:ilvl w:val="0"/>
          <w:numId w:val="1"/>
        </w:numPr>
        <w:spacing w:after="40"/>
        <w:ind w:left="360"/>
      </w:pPr>
      <w:r>
        <w:rPr>
          <w:rFonts w:ascii="Calibri" w:cs="Calibri" w:eastAsia="Calibri" w:hAnsi="Calibri"/>
          <w:color w:val="4A5568"/>
          <w:sz w:val="20"/>
          <w:szCs w:val="20"/>
        </w:rPr>
        <w:t xml:space="preserve">Can the knowledge graph relationships be exported in any standard format?</w:t>
      </w:r>
    </w:p>
    <w:p>
      <w:pPr>
        <w:pStyle w:val="ListParagraph"/>
        <w:numPr>
          <w:ilvl w:val="0"/>
          <w:numId w:val="1"/>
        </w:numPr>
        <w:spacing w:after="40"/>
        <w:ind w:left="360"/>
      </w:pPr>
      <w:r>
        <w:rPr>
          <w:rFonts w:ascii="Calibri" w:cs="Calibri" w:eastAsia="Calibri" w:hAnsi="Calibri"/>
          <w:color w:val="4A5568"/>
          <w:sz w:val="20"/>
          <w:szCs w:val="20"/>
        </w:rPr>
        <w:t xml:space="preserve">What does a typical customer migration away from Glean look like, and what is lost?</w:t>
      </w:r>
    </w:p>
    <w:p>
      <w:pPr>
        <w:pStyle w:val="ListParagraph"/>
        <w:numPr>
          <w:ilvl w:val="0"/>
          <w:numId w:val="1"/>
        </w:numPr>
        <w:spacing w:after="40"/>
        <w:ind w:left="360"/>
      </w:pPr>
      <w:r>
        <w:rPr>
          <w:rFonts w:ascii="Calibri" w:cs="Calibri" w:eastAsia="Calibri" w:hAnsi="Calibri"/>
          <w:color w:val="4A5568"/>
          <w:sz w:val="20"/>
          <w:szCs w:val="20"/>
        </w:rPr>
        <w:t xml:space="preserve">Is data portability on your product roadmap?</w:t>
      </w:r>
    </w:p>
    <w:p>
      <w:pPr>
        <w:pStyle w:val="Heading1"/>
        <w:spacing w:before="400" w:after="200"/>
      </w:pPr>
      <w:r>
        <w:rPr>
          <w:rFonts w:ascii="Calibri" w:cs="Calibri" w:eastAsia="Calibri" w:hAnsi="Calibri"/>
          <w:b/>
          <w:bCs/>
          <w:color w:val="2D3748"/>
          <w:sz w:val="36"/>
          <w:szCs w:val="36"/>
        </w:rPr>
        <w:t xml:space="preserve">Trade-off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3748" w:val="solid"/>
          </w:tcPr>
          <w:p>
            <w:r>
              <w:rPr>
                <w:rFonts w:ascii="Calibri" w:cs="Calibri" w:eastAsia="Calibri" w:hAnsi="Calibri"/>
                <w:b/>
                <w:bCs/>
                <w:color w:val="FFFFFF"/>
                <w:sz w:val="18"/>
                <w:szCs w:val="18"/>
              </w:rPr>
              <w:t xml:space="preserve">Criterion</w:t>
            </w:r>
          </w:p>
        </w:tc>
        <w:tc>
          <w:tcPr>
            <w:shd w:color="2D3748" w:val="solid"/>
          </w:tcPr>
          <w:p>
            <w:r>
              <w:rPr>
                <w:rFonts w:ascii="Calibri" w:cs="Calibri" w:eastAsia="Calibri" w:hAnsi="Calibri"/>
                <w:b/>
                <w:bCs/>
                <w:color w:val="FFFFFF"/>
                <w:sz w:val="18"/>
                <w:szCs w:val="18"/>
              </w:rPr>
              <w:t xml:space="preserve">Result</w:t>
            </w:r>
          </w:p>
        </w:tc>
        <w:tc>
          <w:tcPr>
            <w:shd w:color="2D3748" w:val="solid"/>
          </w:tcPr>
          <w:p>
            <w:r>
              <w:rPr>
                <w:rFonts w:ascii="Calibri" w:cs="Calibri" w:eastAsia="Calibri" w:hAnsi="Calibri"/>
                <w:b/>
                <w:bCs/>
                <w:color w:val="FFFFFF"/>
                <w:sz w:val="18"/>
                <w:szCs w:val="18"/>
              </w:rPr>
              <w:t xml:space="preserve">You Gain</w:t>
            </w:r>
          </w:p>
        </w:tc>
        <w:tc>
          <w:tcPr>
            <w:shd w:color="2D3748" w:val="solid"/>
          </w:tcPr>
          <w:p>
            <w:r>
              <w:rPr>
                <w:rFonts w:ascii="Calibri" w:cs="Calibri" w:eastAsia="Calibri" w:hAnsi="Calibri"/>
                <w:b/>
                <w:bCs/>
                <w:color w:val="FFFFFF"/>
                <w:sz w:val="18"/>
                <w:szCs w:val="18"/>
              </w:rPr>
              <w:t xml:space="preserve">You Give Up</w:t>
            </w:r>
          </w:p>
        </w:tc>
      </w:tr>
      <w:tr>
        <w:tc>
          <w:tcPr>
            <w:shd w:color="FFFFFF" w:val="solid"/>
          </w:tcPr>
          <w:p>
            <w:r>
              <w:rPr>
                <w:rFonts w:ascii="Calibri" w:cs="Calibri" w:eastAsia="Calibri" w:hAnsi="Calibri"/>
                <w:b/>
                <w:bCs/>
                <w:color w:val="2D3748"/>
                <w:sz w:val="18"/>
                <w:szCs w:val="18"/>
              </w:rPr>
              <w:t xml:space="preserve">SEE</w:t>
            </w:r>
          </w:p>
        </w:tc>
        <w:tc>
          <w:tcPr>
            <w:shd w:color="FFFFFF" w:val="solid"/>
          </w:tcPr>
          <w:p>
            <w:r>
              <w:rPr>
                <w:rFonts w:ascii="Calibri" w:cs="Calibri" w:eastAsia="Calibri" w:hAnsi="Calibri"/>
                <w:b/>
                <w:bCs/>
                <w:color w:val="E53E3E"/>
                <w:sz w:val="18"/>
                <w:szCs w:val="18"/>
              </w:rPr>
              <w:t xml:space="preserve">Fail</w:t>
            </w:r>
          </w:p>
        </w:tc>
        <w:tc>
          <w:tcPr>
            <w:shd w:color="FFFFFF" w:val="solid"/>
          </w:tcPr>
          <w:p>
            <w:r>
              <w:rPr>
                <w:rFonts w:ascii="Calibri" w:cs="Calibri" w:eastAsia="Calibri" w:hAnsi="Calibri"/>
                <w:color w:val="4A5568"/>
                <w:sz w:val="18"/>
                <w:szCs w:val="18"/>
              </w:rPr>
              <w:t xml:space="preserve">Clean, simple interface that requires no AI expertise to use</w:t>
            </w:r>
          </w:p>
        </w:tc>
        <w:tc>
          <w:tcPr>
            <w:shd w:color="FFFFFF" w:val="solid"/>
          </w:tcPr>
          <w:p>
            <w:r>
              <w:rPr>
                <w:rFonts w:ascii="Calibri" w:cs="Calibri" w:eastAsia="Calibri" w:hAnsi="Calibri"/>
                <w:color w:val="4A5568"/>
                <w:sz w:val="18"/>
                <w:szCs w:val="18"/>
              </w:rPr>
              <w:t xml:space="preserve">Any ability to verify AI decision-making; No organizational learning about how enterprise AI search works under the hood</w:t>
            </w:r>
          </w:p>
        </w:tc>
      </w:tr>
      <w:tr>
        <w:tc>
          <w:tcPr>
            <w:shd w:color="F7FAFC" w:val="solid"/>
          </w:tcPr>
          <w:p>
            <w:r>
              <w:rPr>
                <w:rFonts w:ascii="Calibri" w:cs="Calibri" w:eastAsia="Calibri" w:hAnsi="Calibri"/>
                <w:b/>
                <w:bCs/>
                <w:color w:val="2D3748"/>
                <w:sz w:val="18"/>
                <w:szCs w:val="18"/>
              </w:rPr>
              <w:t xml:space="preserve">CHANGE</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Useful administrative controls for search scope and data source weighting</w:t>
            </w:r>
          </w:p>
        </w:tc>
        <w:tc>
          <w:tcPr>
            <w:shd w:color="F7FAFC" w:val="solid"/>
          </w:tcPr>
          <w:p>
            <w:r>
              <w:rPr>
                <w:rFonts w:ascii="Calibri" w:cs="Calibri" w:eastAsia="Calibri" w:hAnsi="Calibri"/>
                <w:color w:val="4A5568"/>
                <w:sz w:val="18"/>
                <w:szCs w:val="18"/>
              </w:rPr>
              <w:t xml:space="preserve">Ability to tune AI behavior for specific departments, use cases, or sensitivity levels</w:t>
            </w:r>
          </w:p>
        </w:tc>
      </w:tr>
      <w:tr>
        <w:tc>
          <w:tcPr>
            <w:shd w:color="FFFFFF" w:val="solid"/>
          </w:tcPr>
          <w:p>
            <w:r>
              <w:rPr>
                <w:rFonts w:ascii="Calibri" w:cs="Calibri" w:eastAsia="Calibri" w:hAnsi="Calibri"/>
                <w:b/>
                <w:bCs/>
                <w:color w:val="2D3748"/>
                <w:sz w:val="18"/>
                <w:szCs w:val="18"/>
              </w:rPr>
              <w:t xml:space="preserve">ADAPT</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Vendor handles all model upgrades and testing—no migration burden</w:t>
            </w:r>
          </w:p>
        </w:tc>
        <w:tc>
          <w:tcPr>
            <w:shd w:color="FFFFFF" w:val="solid"/>
          </w:tcPr>
          <w:p>
            <w:r>
              <w:rPr>
                <w:rFonts w:ascii="Calibri" w:cs="Calibri" w:eastAsia="Calibri" w:hAnsi="Calibri"/>
                <w:color w:val="4A5568"/>
                <w:sz w:val="18"/>
                <w:szCs w:val="18"/>
              </w:rPr>
              <w:t xml:space="preserve">Ability to leverage cutting-edge AI capabilities when they become available; Dependence on Glean's prioritization decisions</w:t>
            </w:r>
          </w:p>
        </w:tc>
      </w:tr>
      <w:tr>
        <w:tc>
          <w:tcPr>
            <w:shd w:color="F7FAFC" w:val="solid"/>
          </w:tcPr>
          <w:p>
            <w:r>
              <w:rPr>
                <w:rFonts w:ascii="Calibri" w:cs="Calibri" w:eastAsia="Calibri" w:hAnsi="Calibri"/>
                <w:b/>
                <w:bCs/>
                <w:color w:val="2D3748"/>
                <w:sz w:val="18"/>
                <w:szCs w:val="18"/>
              </w:rPr>
              <w:t xml:space="preserve">USE</w:t>
            </w:r>
          </w:p>
        </w:tc>
        <w:tc>
          <w:tcPr>
            <w:shd w:color="F7FAFC" w:val="solid"/>
          </w:tcPr>
          <w:p>
            <w:r>
              <w:rPr>
                <w:rFonts w:ascii="Calibri" w:cs="Calibri" w:eastAsia="Calibri" w:hAnsi="Calibri"/>
                <w:b/>
                <w:bCs/>
                <w:color w:val="38A169"/>
                <w:sz w:val="18"/>
                <w:szCs w:val="18"/>
              </w:rPr>
              <w:t xml:space="preserve">Pass</w:t>
            </w:r>
          </w:p>
        </w:tc>
        <w:tc>
          <w:tcPr>
            <w:shd w:color="F7FAFC" w:val="solid"/>
          </w:tcPr>
          <w:p>
            <w:r>
              <w:rPr>
                <w:rFonts w:ascii="Calibri" w:cs="Calibri" w:eastAsia="Calibri" w:hAnsi="Calibri"/>
                <w:color w:val="4A5568"/>
                <w:sz w:val="18"/>
                <w:szCs w:val="18"/>
              </w:rPr>
              <w:t xml:space="preserve">Best-in-class enterprise search that provides immediate, measurable productivity improvements across the organization</w:t>
            </w:r>
          </w:p>
        </w:tc>
        <w:tc>
          <w:tcPr>
            <w:shd w:color="F7FAFC" w:val="solid"/>
          </w:tcPr>
          <w:p>
            <w:r>
              <w:rPr>
                <w:rFonts w:ascii="Calibri" w:cs="Calibri" w:eastAsia="Calibri" w:hAnsi="Calibri"/>
                <w:color w:val="4A5568"/>
                <w:sz w:val="18"/>
                <w:szCs w:val="18"/>
              </w:rPr>
              <w:t xml:space="preserve">—</w:t>
            </w:r>
          </w:p>
        </w:tc>
      </w:tr>
      <w:tr>
        <w:tc>
          <w:tcPr>
            <w:shd w:color="FFFFFF" w:val="solid"/>
          </w:tcPr>
          <w:p>
            <w:r>
              <w:rPr>
                <w:rFonts w:ascii="Calibri" w:cs="Calibri" w:eastAsia="Calibri" w:hAnsi="Calibri"/>
                <w:b/>
                <w:bCs/>
                <w:color w:val="2D3748"/>
                <w:sz w:val="18"/>
                <w:szCs w:val="18"/>
              </w:rPr>
              <w:t xml:space="preserve">LEARN</w:t>
            </w:r>
          </w:p>
        </w:tc>
        <w:tc>
          <w:tcPr>
            <w:shd w:color="FFFFFF" w:val="solid"/>
          </w:tcPr>
          <w:p>
            <w:r>
              <w:rPr>
                <w:rFonts w:ascii="Calibri" w:cs="Calibri" w:eastAsia="Calibri" w:hAnsi="Calibri"/>
                <w:b/>
                <w:bCs/>
                <w:color w:val="E53E3E"/>
                <w:sz w:val="18"/>
                <w:szCs w:val="18"/>
              </w:rPr>
              <w:t xml:space="preserve">Fail</w:t>
            </w:r>
          </w:p>
        </w:tc>
        <w:tc>
          <w:tcPr>
            <w:shd w:color="FFFFFF" w:val="solid"/>
          </w:tcPr>
          <w:p>
            <w:r>
              <w:rPr>
                <w:rFonts w:ascii="Calibri" w:cs="Calibri" w:eastAsia="Calibri" w:hAnsi="Calibri"/>
                <w:color w:val="4A5568"/>
                <w:sz w:val="18"/>
                <w:szCs w:val="18"/>
              </w:rPr>
              <w:t xml:space="preserve">Zero training overhead—anyone who can use Google can use Glean</w:t>
            </w:r>
          </w:p>
        </w:tc>
        <w:tc>
          <w:tcPr>
            <w:shd w:color="FFFFFF" w:val="solid"/>
          </w:tcPr>
          <w:p>
            <w:r>
              <w:rPr>
                <w:rFonts w:ascii="Calibri" w:cs="Calibri" w:eastAsia="Calibri" w:hAnsi="Calibri"/>
                <w:color w:val="4A5568"/>
                <w:sz w:val="18"/>
                <w:szCs w:val="18"/>
              </w:rPr>
              <w:t xml:space="preserve">Opportunity to build organizational AI literacy through daily tool usage; Workforce AI skills remain at zero regardless of usage duration</w:t>
            </w:r>
          </w:p>
        </w:tc>
      </w:tr>
      <w:tr>
        <w:tc>
          <w:tcPr>
            <w:shd w:color="F7FAFC" w:val="solid"/>
          </w:tcPr>
          <w:p>
            <w:r>
              <w:rPr>
                <w:rFonts w:ascii="Calibri" w:cs="Calibri" w:eastAsia="Calibri" w:hAnsi="Calibri"/>
                <w:b/>
                <w:bCs/>
                <w:color w:val="2D3748"/>
                <w:sz w:val="18"/>
                <w:szCs w:val="18"/>
              </w:rPr>
              <w:t xml:space="preserve">EXIT</w:t>
            </w:r>
          </w:p>
        </w:tc>
        <w:tc>
          <w:tcPr>
            <w:shd w:color="F7FAFC" w:val="solid"/>
          </w:tcPr>
          <w:p>
            <w:r>
              <w:rPr>
                <w:rFonts w:ascii="Calibri" w:cs="Calibri" w:eastAsia="Calibri" w:hAnsi="Calibri"/>
                <w:b/>
                <w:bCs/>
                <w:color w:val="E53E3E"/>
                <w:sz w:val="18"/>
                <w:szCs w:val="18"/>
              </w:rPr>
              <w:t xml:space="preserve">Fail</w:t>
            </w:r>
          </w:p>
        </w:tc>
        <w:tc>
          <w:tcPr>
            <w:shd w:color="F7FAFC" w:val="solid"/>
          </w:tcPr>
          <w:p>
            <w:r>
              <w:rPr>
                <w:rFonts w:ascii="Calibri" w:cs="Calibri" w:eastAsia="Calibri" w:hAnsi="Calibri"/>
                <w:color w:val="4A5568"/>
                <w:sz w:val="18"/>
                <w:szCs w:val="18"/>
              </w:rPr>
              <w:t xml:space="preserve">—</w:t>
            </w:r>
          </w:p>
        </w:tc>
        <w:tc>
          <w:tcPr>
            <w:shd w:color="F7FAFC" w:val="solid"/>
          </w:tcPr>
          <w:p>
            <w:r>
              <w:rPr>
                <w:rFonts w:ascii="Calibri" w:cs="Calibri" w:eastAsia="Calibri" w:hAnsi="Calibri"/>
                <w:color w:val="4A5568"/>
                <w:sz w:val="18"/>
                <w:szCs w:val="18"/>
              </w:rPr>
              <w:t xml:space="preserve">All organizational knowledge enrichment is locked to Glean; Switching costs increase linearly with usage duration and depth</w:t>
            </w:r>
          </w:p>
        </w:tc>
      </w:tr>
    </w:tbl>
    <w:p>
      <w:pPr>
        <w:pStyle w:val="Heading1"/>
        <w:spacing w:before="400" w:after="200"/>
      </w:pPr>
      <w:r>
        <w:rPr>
          <w:rFonts w:ascii="Calibri" w:cs="Calibri" w:eastAsia="Calibri" w:hAnsi="Calibri"/>
          <w:b/>
          <w:bCs/>
          <w:color w:val="2D3748"/>
          <w:sz w:val="36"/>
          <w:szCs w:val="36"/>
        </w:rPr>
        <w:t xml:space="preserve">Key Questions for Your Decision</w:t>
      </w:r>
    </w:p>
    <w:p>
      <w:pPr>
        <w:spacing w:after="160"/>
      </w:pPr>
      <w:r>
        <w:rPr>
          <w:rFonts w:ascii="Calibri" w:cs="Calibri" w:eastAsia="Calibri" w:hAnsi="Calibri"/>
          <w:color w:val="4A5568"/>
          <w:sz w:val="22"/>
          <w:szCs w:val="22"/>
        </w:rPr>
        <w:t xml:space="preserve">Consider these strategic questions based on your organizational context and priorities.</w:t>
      </w:r>
    </w:p>
    <w:p>
      <w:pPr>
        <w:spacing w:after="120"/>
        <w:ind w:left="360"/>
      </w:pPr>
      <w:r>
        <w:rPr>
          <w:rFonts w:ascii="Calibri" w:cs="Calibri" w:eastAsia="Calibri" w:hAnsi="Calibri"/>
          <w:b/>
          <w:bCs/>
          <w:color w:val="2D3748"/>
          <w:sz w:val="22"/>
          <w:szCs w:val="22"/>
        </w:rPr>
        <w:t xml:space="preserve">1. </w:t>
      </w:r>
      <w:r>
        <w:rPr>
          <w:rFonts w:ascii="Calibri" w:cs="Calibri" w:eastAsia="Calibri" w:hAnsi="Calibri"/>
          <w:color w:val="4A5568"/>
          <w:sz w:val="22"/>
          <w:szCs w:val="22"/>
        </w:rPr>
        <w:t xml:space="preserve">How critical is unified enterprise search as an immediate pain point versus a problem you could solve incrementally?</w:t>
      </w:r>
    </w:p>
    <w:p>
      <w:pPr>
        <w:spacing w:after="120"/>
        <w:ind w:left="360"/>
      </w:pPr>
      <w:r>
        <w:rPr>
          <w:rFonts w:ascii="Calibri" w:cs="Calibri" w:eastAsia="Calibri" w:hAnsi="Calibri"/>
          <w:b/>
          <w:bCs/>
          <w:color w:val="2D3748"/>
          <w:sz w:val="22"/>
          <w:szCs w:val="22"/>
        </w:rPr>
        <w:t xml:space="preserve">2. </w:t>
      </w:r>
      <w:r>
        <w:rPr>
          <w:rFonts w:ascii="Calibri" w:cs="Calibri" w:eastAsia="Calibri" w:hAnsi="Calibri"/>
          <w:color w:val="4A5568"/>
          <w:sz w:val="22"/>
          <w:szCs w:val="22"/>
        </w:rPr>
        <w:t xml:space="preserve">What is your organization's tolerance for vendor lock-in given how fast the AI search market is evolving?</w:t>
      </w:r>
    </w:p>
    <w:p>
      <w:pPr>
        <w:spacing w:after="120"/>
        <w:ind w:left="360"/>
      </w:pPr>
      <w:r>
        <w:rPr>
          <w:rFonts w:ascii="Calibri" w:cs="Calibri" w:eastAsia="Calibri" w:hAnsi="Calibri"/>
          <w:b/>
          <w:bCs/>
          <w:color w:val="2D3748"/>
          <w:sz w:val="22"/>
          <w:szCs w:val="22"/>
        </w:rPr>
        <w:t xml:space="preserve">3. </w:t>
      </w:r>
      <w:r>
        <w:rPr>
          <w:rFonts w:ascii="Calibri" w:cs="Calibri" w:eastAsia="Calibri" w:hAnsi="Calibri"/>
          <w:color w:val="4A5568"/>
          <w:sz w:val="22"/>
          <w:szCs w:val="22"/>
        </w:rPr>
        <w:t xml:space="preserve">Does your team have other AI tools that build AI fluency, or would Glean be the primary AI touchpoint?</w:t>
      </w:r>
    </w:p>
    <w:p>
      <w:pPr>
        <w:spacing w:after="120"/>
        <w:ind w:left="360"/>
      </w:pPr>
      <w:r>
        <w:rPr>
          <w:rFonts w:ascii="Calibri" w:cs="Calibri" w:eastAsia="Calibri" w:hAnsi="Calibri"/>
          <w:b/>
          <w:bCs/>
          <w:color w:val="2D3748"/>
          <w:sz w:val="22"/>
          <w:szCs w:val="22"/>
        </w:rPr>
        <w:t xml:space="preserve">4. </w:t>
      </w:r>
      <w:r>
        <w:rPr>
          <w:rFonts w:ascii="Calibri" w:cs="Calibri" w:eastAsia="Calibri" w:hAnsi="Calibri"/>
          <w:color w:val="4A5568"/>
          <w:sz w:val="22"/>
          <w:szCs w:val="22"/>
        </w:rPr>
        <w:t xml:space="preserve">How do you weigh the immediate productivity gains against the long-term strategic costs of opacity and lock-in?</w:t>
      </w:r>
    </w:p>
    <w:p>
      <w:pPr>
        <w:spacing w:after="120"/>
        <w:ind w:left="360"/>
      </w:pPr>
      <w:r>
        <w:rPr>
          <w:rFonts w:ascii="Calibri" w:cs="Calibri" w:eastAsia="Calibri" w:hAnsi="Calibri"/>
          <w:b/>
          <w:bCs/>
          <w:color w:val="2D3748"/>
          <w:sz w:val="22"/>
          <w:szCs w:val="22"/>
        </w:rPr>
        <w:t xml:space="preserve">5. </w:t>
      </w:r>
      <w:r>
        <w:rPr>
          <w:rFonts w:ascii="Calibri" w:cs="Calibri" w:eastAsia="Calibri" w:hAnsi="Calibri"/>
          <w:color w:val="4A5568"/>
          <w:sz w:val="22"/>
          <w:szCs w:val="22"/>
        </w:rPr>
        <w:t xml:space="preserve">What is your 3-year plan for enterprise AI? Does Glean fit as a long-term partner or a bridge solution?</w:t>
      </w:r>
    </w:p>
    <w:p>
      <w:pPr>
        <w:spacing w:after="120"/>
        <w:ind w:left="360"/>
      </w:pPr>
      <w:r>
        <w:rPr>
          <w:rFonts w:ascii="Calibri" w:cs="Calibri" w:eastAsia="Calibri" w:hAnsi="Calibri"/>
          <w:b/>
          <w:bCs/>
          <w:color w:val="2D3748"/>
          <w:sz w:val="22"/>
          <w:szCs w:val="22"/>
        </w:rPr>
        <w:t xml:space="preserve">6. </w:t>
      </w:r>
      <w:r>
        <w:rPr>
          <w:rFonts w:ascii="Calibri" w:cs="Calibri" w:eastAsia="Calibri" w:hAnsi="Calibri"/>
          <w:color w:val="4A5568"/>
          <w:sz w:val="22"/>
          <w:szCs w:val="22"/>
        </w:rPr>
        <w:t xml:space="preserve">Have you evaluated open-source or modular alternatives that offer more transparency and portability?</w:t>
      </w:r>
    </w:p>
    <w:p>
      <w:pPr>
        <w:pBdr>
          <w:top w:val="single" w:color="E2E8F0" w:sz="6"/>
        </w:pBdr>
        <w:spacing w:before="600"/>
      </w:pPr>
    </w:p>
    <w:p>
      <w:pPr>
        <w:spacing w:before="200" w:after="60"/>
        <w:jc w:val="center"/>
      </w:pPr>
      <w:r>
        <w:rPr>
          <w:rFonts w:ascii="Calibri" w:cs="Calibri" w:eastAsia="Calibri" w:hAnsi="Calibri"/>
          <w:color w:val="4A5568"/>
          <w:spacing w:val="60"/>
          <w:sz w:val="18"/>
          <w:szCs w:val="18"/>
        </w:rPr>
        <w:t xml:space="preserve">CONFIDENTIAL — FOR INTERNAL USE ONLY</w:t>
      </w:r>
    </w:p>
    <w:p>
      <w:pPr>
        <w:spacing w:after="60"/>
        <w:jc w:val="center"/>
      </w:pPr>
      <w:r>
        <w:rPr>
          <w:rFonts w:ascii="Calibri" w:cs="Calibri" w:eastAsia="Calibri" w:hAnsi="Calibri"/>
          <w:color w:val="4A5568"/>
          <w:sz w:val="18"/>
          <w:szCs w:val="18"/>
        </w:rPr>
        <w:t xml:space="preserve">This evaluation assesses vendors on immediate utility and long-term organizational AI capacity building.</w:t>
      </w:r>
    </w:p>
    <w:p>
      <w:pPr>
        <w:jc w:val="center"/>
      </w:pPr>
      <w:r>
        <w:rPr>
          <w:rFonts w:ascii="Calibri" w:cs="Calibri" w:eastAsia="Calibri" w:hAnsi="Calibri"/>
          <w:color w:val="4A5568"/>
          <w:sz w:val="16"/>
          <w:szCs w:val="16"/>
        </w:rP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2026-06-18T11:57:16.214Z</dcterms:created>
  <dcterms:modified xsi:type="dcterms:W3CDTF">2026-06-18T11:57:16.214Z</dcterms:modified>
</cp:coreProperties>
</file>

<file path=docProps/custom.xml><?xml version="1.0" encoding="utf-8"?>
<Properties xmlns="http://schemas.openxmlformats.org/officeDocument/2006/custom-properties" xmlns:vt="http://schemas.openxmlformats.org/officeDocument/2006/docPropsVTypes"/>
</file>