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2D3748"/>
          <w:sz w:val="56"/>
          <w:szCs w:val="56"/>
        </w:rPr>
        <w:t xml:space="preserve">Legora</w:t>
      </w:r>
    </w:p>
    <w:p>
      <w:pPr>
        <w:spacing w:after="40"/>
      </w:pPr>
      <w:r>
        <w:rPr>
          <w:rFonts w:ascii="Calibri" w:cs="Calibri" w:eastAsia="Calibri" w:hAnsi="Calibri"/>
          <w:color w:val="4A5568"/>
          <w:spacing w:val="120"/>
          <w:sz w:val="20"/>
          <w:szCs w:val="20"/>
        </w:rPr>
        <w:t xml:space="preserve">VENDOR EVALUATION REPORT</w:t>
      </w:r>
    </w:p>
    <w:p>
      <w:pPr>
        <w:spacing w:after="40"/>
      </w:pPr>
      <w:r>
        <w:rPr>
          <w:rFonts w:ascii="Calibri" w:cs="Calibri" w:eastAsia="Calibri" w:hAnsi="Calibri"/>
          <w:color w:val="4A5568"/>
          <w:sz w:val="22"/>
          <w:szCs w:val="22"/>
        </w:rPr>
        <w:t xml:space="preserve">AI Software</w:t>
      </w:r>
    </w:p>
    <w:p>
      <w:pPr>
        <w:spacing w:after="400"/>
      </w:pPr>
      <w:r>
        <w:rPr>
          <w:rFonts w:ascii="Calibri" w:cs="Calibri" w:eastAsia="Calibri" w:hAnsi="Calibri"/>
          <w:color w:val="4A5568"/>
          <w:sz w:val="18"/>
          <w:szCs w:val="18"/>
        </w:rPr>
        <w:t xml:space="preserve">Version 1.0  •  March 2026</w:t>
      </w:r>
    </w:p>
    <w:p>
      <w:pPr>
        <w:pBdr>
          <w:bottom w:val="single" w:color="E2E8F0" w:sz="6"/>
        </w:pBdr>
        <w:spacing w:after="300"/>
      </w:pPr>
    </w:p>
    <w:p>
      <w:pPr>
        <w:pStyle w:val="Heading1"/>
        <w:spacing w:before="200" w:after="200"/>
      </w:pPr>
      <w:r>
        <w:rPr>
          <w:rFonts w:ascii="Calibri" w:cs="Calibri" w:eastAsia="Calibri" w:hAnsi="Calibri"/>
          <w:b/>
          <w:bCs/>
          <w:color w:val="2D3748"/>
          <w:sz w:val="36"/>
          <w:szCs w:val="36"/>
        </w:rPr>
        <w:t xml:space="preserve">Executive Summary</w:t>
      </w:r>
    </w:p>
    <w:p>
      <w:pPr>
        <w:spacing w:after="100"/>
      </w:pPr>
      <w:r>
        <w:rPr>
          <w:rFonts w:ascii="Calibri" w:cs="Calibri" w:eastAsia="Calibri" w:hAnsi="Calibri"/>
          <w:b/>
          <w:bCs/>
          <w:color w:val="4A5568"/>
          <w:sz w:val="18"/>
          <w:szCs w:val="18"/>
        </w:rPr>
        <w:t xml:space="preserve">KEY TAKEAWAY</w:t>
      </w:r>
    </w:p>
    <w:p>
      <w:pPr>
        <w:spacing w:after="240"/>
      </w:pPr>
      <w:r>
        <w:rPr>
          <w:rFonts w:ascii="Calibri" w:cs="Calibri" w:eastAsia="Calibri" w:hAnsi="Calibri"/>
          <w:b/>
          <w:bCs/>
          <w:color w:val="2D3748"/>
          <w:sz w:val="24"/>
          <w:szCs w:val="24"/>
        </w:rPr>
        <w:t xml:space="preserve">Legora is a competent legal AI tool that solves real workflow problems, but its uniform "Partially" scores across every dimension reveal a vendor that consistently stops short of the transparency, portability, and capacity-building depth that would make it a strong long-term strategic choice.</w:t>
      </w:r>
    </w:p>
    <w:p>
      <w:pPr>
        <w:spacing w:after="200"/>
      </w:pPr>
      <w:r>
        <w:rPr>
          <w:rFonts w:ascii="Calibri" w:cs="Calibri" w:eastAsia="Calibri" w:hAnsi="Calibri"/>
          <w:color w:val="4A5568"/>
          <w:sz w:val="22"/>
          <w:szCs w:val="22"/>
        </w:rPr>
        <w:t xml:space="preserve">Legora's strongest signal is genuine utility in legal workflows—custom Workflows, Playbooks, and source-cited outputs address real pain points in legal research and document analysis. The tool clearly targets a specific, worthwhile problem space and provides meaningful workflow-level customization. Its rapid adoption of new OpenAI models via Azure demonstrates a vendor that is actively investing in its product. These are real strengths. But they come with a consistent pattern: Legora does enough to be useful at each layer while stopping short of the depth that would distinguish it as a strategic platform. It cites sources but obscures its prompts and model architecture. It lets users customize workflows but locks down the AI layer entirely. It exports raw documents but not the structured logic and configurations that represent accumulated organizational investment.</w:t>
      </w:r>
    </w:p>
    <w:p>
      <w:pPr>
        <w:spacing w:after="200"/>
      </w:pPr>
      <w:r>
        <w:rPr>
          <w:rFonts w:ascii="Calibri" w:cs="Calibri" w:eastAsia="Calibri" w:hAnsi="Calibri"/>
          <w:color w:val="4A5568"/>
          <w:sz w:val="22"/>
          <w:szCs w:val="22"/>
        </w:rPr>
        <w:t xml:space="preserve">The capacity-building trade-off is the central tension. Legora teaches users to prompt effectively and verify AI outputs—genuinely transferable skills. But it does not expose the AI mechanics (model selection, prompt engineering patterns, retrieval architecture) that would help legal teams develop deeper organizational fluency in how AI actually works. This is the classic convenience-versus-learning trade-off: the tool abstracts away complexity to deliver immediate productivity, which simultaneously removes the friction that drives institutional understanding. The single-vendor dependency on OpenAI via Azure compounds this—organizations have no visibility into how model changes affect outputs and no ability to diversify inference providers. If OpenAI's models shift in ways that degrade legal reasoning quality, Legora's users will experience the consequences without understanding the cause.</w:t>
      </w:r>
    </w:p>
    <w:p>
      <w:pPr>
        <w:spacing w:after="200"/>
      </w:pPr>
      <w:r>
        <w:rPr>
          <w:rFonts w:ascii="Calibri" w:cs="Calibri" w:eastAsia="Calibri" w:hAnsi="Calibri"/>
          <w:color w:val="4A5568"/>
          <w:sz w:val="22"/>
          <w:szCs w:val="22"/>
        </w:rPr>
        <w:t xml:space="preserve">This tool suits organizations that need immediate legal AI productivity and are comfortable treating AI as an appliance rather than a capability to be deeply understood. It is a reasonable choice for legal departments that want structured AI-assisted workflows without the overhead of building internal AI expertise. It is a less suitable choice for organizations that view legal AI as a strategic capability to be owned and evolved internally, or for those that prioritize deep transparency and portability as non-negotiable requirements. The uniform 'Partially' profile means Legora is unlikely to be a serious liability—but also unlikely to be a meaningful accelerant for long-term AI maturity.</w:t>
      </w:r>
    </w:p>
    <w:p>
      <w:pPr>
        <w:pStyle w:val="Heading1"/>
        <w:spacing w:before="400" w:after="200"/>
      </w:pPr>
      <w:r>
        <w:rPr>
          <w:rFonts w:ascii="Calibri" w:cs="Calibri" w:eastAsia="Calibri" w:hAnsi="Calibri"/>
          <w:b/>
          <w:bCs/>
          <w:color w:val="2D3748"/>
          <w:sz w:val="36"/>
          <w:szCs w:val="36"/>
        </w:rPr>
        <w:t xml:space="preserve">Evaluation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50%"/>
            <w:shd w:color="2D3748" w:val="solid"/>
          </w:tcPr>
          <w:p>
            <w:r>
              <w:rPr>
                <w:rFonts w:ascii="Calibri" w:cs="Calibri" w:eastAsia="Calibri" w:hAnsi="Calibri"/>
                <w:b/>
                <w:bCs/>
                <w:color w:val="FFFFFF"/>
                <w:sz w:val="20"/>
                <w:szCs w:val="20"/>
              </w:rPr>
              <w:t xml:space="preserve">Criterion</w:t>
            </w:r>
          </w:p>
        </w:tc>
        <w:tc>
          <w:tcPr>
            <w:tcW w:type="pct" w:w="25%"/>
            <w:shd w:color="2D3748" w:val="solid"/>
          </w:tcPr>
          <w:p>
            <w:r>
              <w:rPr>
                <w:rFonts w:ascii="Calibri" w:cs="Calibri" w:eastAsia="Calibri" w:hAnsi="Calibri"/>
                <w:b/>
                <w:bCs/>
                <w:color w:val="FFFFFF"/>
                <w:sz w:val="20"/>
                <w:szCs w:val="20"/>
              </w:rPr>
              <w:t xml:space="preserve">Focus Area</w:t>
            </w:r>
          </w:p>
        </w:tc>
        <w:tc>
          <w:tcPr>
            <w:tcW w:type="pct" w:w="25%"/>
            <w:shd w:color="2D3748" w:val="solid"/>
          </w:tcPr>
          <w:p>
            <w:pPr>
              <w:jc w:val="center"/>
            </w:pPr>
            <w:r>
              <w:rPr>
                <w:rFonts w:ascii="Calibri" w:cs="Calibri" w:eastAsia="Calibri" w:hAnsi="Calibri"/>
                <w:b/>
                <w:bCs/>
                <w:color w:val="FFFFFF"/>
                <w:sz w:val="20"/>
                <w:szCs w:val="20"/>
              </w:rPr>
              <w:t xml:space="preserve">Result</w:t>
            </w:r>
          </w:p>
        </w:tc>
      </w:tr>
      <w:tr>
        <w:tc>
          <w:tcPr>
            <w:shd w:color="FFFFFF" w:val="solid"/>
          </w:tcPr>
          <w:p>
            <w:r>
              <w:rPr>
                <w:rFonts w:ascii="Calibri" w:cs="Calibri" w:eastAsia="Calibri" w:hAnsi="Calibri"/>
                <w:b/>
                <w:bCs/>
                <w:color w:val="2D3748"/>
                <w:sz w:val="20"/>
                <w:szCs w:val="20"/>
              </w:rPr>
              <w:t xml:space="preserve">SEE</w:t>
            </w:r>
          </w:p>
        </w:tc>
        <w:tc>
          <w:tcPr>
            <w:shd w:color="FFFFFF" w:val="solid"/>
          </w:tcPr>
          <w:p>
            <w:r>
              <w:rPr>
                <w:rFonts w:ascii="Calibri" w:cs="Calibri" w:eastAsia="Calibri" w:hAnsi="Calibri"/>
                <w:color w:val="4A5568"/>
                <w:sz w:val="20"/>
                <w:szCs w:val="20"/>
              </w:rPr>
              <w:t xml:space="preserve">Transparency &amp; Visibility</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CHANGE</w:t>
            </w:r>
          </w:p>
        </w:tc>
        <w:tc>
          <w:tcPr>
            <w:shd w:color="F7FAFC" w:val="solid"/>
          </w:tcPr>
          <w:p>
            <w:r>
              <w:rPr>
                <w:rFonts w:ascii="Calibri" w:cs="Calibri" w:eastAsia="Calibri" w:hAnsi="Calibri"/>
                <w:color w:val="4A5568"/>
                <w:sz w:val="20"/>
                <w:szCs w:val="20"/>
              </w:rPr>
              <w:t xml:space="preserve">Customizability &amp; Control</w:t>
            </w:r>
          </w:p>
        </w:tc>
        <w:tc>
          <w:tcPr>
            <w:shd w:color="F7FAFC" w:val="solid"/>
          </w:tcPr>
          <w:p>
            <w:pPr>
              <w:jc w:val="center"/>
            </w:pPr>
            <w:r>
              <w:rPr>
                <w:rFonts w:ascii="Calibri" w:cs="Calibri" w:eastAsia="Calibri" w:hAnsi="Calibri"/>
                <w:b/>
                <w:bCs/>
                <w:color w:val="D69E2E"/>
                <w:sz w:val="20"/>
                <w:szCs w:val="20"/>
              </w:rPr>
              <w:t xml:space="preserve">Partial</w:t>
            </w:r>
          </w:p>
        </w:tc>
      </w:tr>
      <w:tr>
        <w:tc>
          <w:tcPr>
            <w:shd w:color="FFFFFF" w:val="solid"/>
          </w:tcPr>
          <w:p>
            <w:r>
              <w:rPr>
                <w:rFonts w:ascii="Calibri" w:cs="Calibri" w:eastAsia="Calibri" w:hAnsi="Calibri"/>
                <w:b/>
                <w:bCs/>
                <w:color w:val="2D3748"/>
                <w:sz w:val="20"/>
                <w:szCs w:val="20"/>
              </w:rPr>
              <w:t xml:space="preserve">ADAPT</w:t>
            </w:r>
          </w:p>
        </w:tc>
        <w:tc>
          <w:tcPr>
            <w:shd w:color="FFFFFF" w:val="solid"/>
          </w:tcPr>
          <w:p>
            <w:r>
              <w:rPr>
                <w:rFonts w:ascii="Calibri" w:cs="Calibri" w:eastAsia="Calibri" w:hAnsi="Calibri"/>
                <w:color w:val="4A5568"/>
                <w:sz w:val="20"/>
                <w:szCs w:val="20"/>
              </w:rPr>
              <w:t xml:space="preserve">Vendor Agility &amp; Innovation</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USE</w:t>
            </w:r>
          </w:p>
        </w:tc>
        <w:tc>
          <w:tcPr>
            <w:shd w:color="F7FAFC" w:val="solid"/>
          </w:tcPr>
          <w:p>
            <w:r>
              <w:rPr>
                <w:rFonts w:ascii="Calibri" w:cs="Calibri" w:eastAsia="Calibri" w:hAnsi="Calibri"/>
                <w:color w:val="4A5568"/>
                <w:sz w:val="20"/>
                <w:szCs w:val="20"/>
              </w:rPr>
              <w:t xml:space="preserve">Genuine Utility &amp; Value</w:t>
            </w:r>
          </w:p>
        </w:tc>
        <w:tc>
          <w:tcPr>
            <w:shd w:color="F7FAFC" w:val="solid"/>
          </w:tcPr>
          <w:p>
            <w:pPr>
              <w:jc w:val="center"/>
            </w:pPr>
            <w:r>
              <w:rPr>
                <w:rFonts w:ascii="Calibri" w:cs="Calibri" w:eastAsia="Calibri" w:hAnsi="Calibri"/>
                <w:b/>
                <w:bCs/>
                <w:color w:val="D69E2E"/>
                <w:sz w:val="20"/>
                <w:szCs w:val="20"/>
              </w:rPr>
              <w:t xml:space="preserve">Partial</w:t>
            </w:r>
          </w:p>
        </w:tc>
      </w:tr>
      <w:tr>
        <w:tc>
          <w:tcPr>
            <w:shd w:color="FFFFFF" w:val="solid"/>
          </w:tcPr>
          <w:p>
            <w:r>
              <w:rPr>
                <w:rFonts w:ascii="Calibri" w:cs="Calibri" w:eastAsia="Calibri" w:hAnsi="Calibri"/>
                <w:b/>
                <w:bCs/>
                <w:color w:val="2D3748"/>
                <w:sz w:val="20"/>
                <w:szCs w:val="20"/>
              </w:rPr>
              <w:t xml:space="preserve">LEARN</w:t>
            </w:r>
          </w:p>
        </w:tc>
        <w:tc>
          <w:tcPr>
            <w:shd w:color="FFFFFF" w:val="solid"/>
          </w:tcPr>
          <w:p>
            <w:r>
              <w:rPr>
                <w:rFonts w:ascii="Calibri" w:cs="Calibri" w:eastAsia="Calibri" w:hAnsi="Calibri"/>
                <w:color w:val="4A5568"/>
                <w:sz w:val="20"/>
                <w:szCs w:val="20"/>
              </w:rPr>
              <w:t xml:space="preserve">Transferable Knowledge</w:t>
            </w:r>
          </w:p>
        </w:tc>
        <w:tc>
          <w:tcPr>
            <w:shd w:color="FFFFFF" w:val="solid"/>
          </w:tcPr>
          <w:p>
            <w:pPr>
              <w:jc w:val="center"/>
            </w:pPr>
            <w:r>
              <w:rPr>
                <w:rFonts w:ascii="Calibri" w:cs="Calibri" w:eastAsia="Calibri" w:hAnsi="Calibri"/>
                <w:b/>
                <w:bCs/>
                <w:color w:val="D69E2E"/>
                <w:sz w:val="20"/>
                <w:szCs w:val="20"/>
              </w:rPr>
              <w:t xml:space="preserve">Partial</w:t>
            </w:r>
          </w:p>
        </w:tc>
      </w:tr>
      <w:tr>
        <w:tc>
          <w:tcPr>
            <w:shd w:color="F7FAFC" w:val="solid"/>
          </w:tcPr>
          <w:p>
            <w:r>
              <w:rPr>
                <w:rFonts w:ascii="Calibri" w:cs="Calibri" w:eastAsia="Calibri" w:hAnsi="Calibri"/>
                <w:b/>
                <w:bCs/>
                <w:color w:val="2D3748"/>
                <w:sz w:val="20"/>
                <w:szCs w:val="20"/>
              </w:rPr>
              <w:t xml:space="preserve">EXIT</w:t>
            </w:r>
          </w:p>
        </w:tc>
        <w:tc>
          <w:tcPr>
            <w:shd w:color="F7FAFC" w:val="solid"/>
          </w:tcPr>
          <w:p>
            <w:r>
              <w:rPr>
                <w:rFonts w:ascii="Calibri" w:cs="Calibri" w:eastAsia="Calibri" w:hAnsi="Calibri"/>
                <w:color w:val="4A5568"/>
                <w:sz w:val="20"/>
                <w:szCs w:val="20"/>
              </w:rPr>
              <w:t xml:space="preserve">Portability &amp; Migration</w:t>
            </w:r>
          </w:p>
        </w:tc>
        <w:tc>
          <w:tcPr>
            <w:shd w:color="F7FAFC" w:val="solid"/>
          </w:tcPr>
          <w:p>
            <w:pPr>
              <w:jc w:val="center"/>
            </w:pPr>
            <w:r>
              <w:rPr>
                <w:rFonts w:ascii="Calibri" w:cs="Calibri" w:eastAsia="Calibri" w:hAnsi="Calibri"/>
                <w:b/>
                <w:bCs/>
                <w:color w:val="D69E2E"/>
                <w:sz w:val="20"/>
                <w:szCs w:val="20"/>
              </w:rPr>
              <w:t xml:space="preserve">Partial</w:t>
            </w:r>
          </w:p>
        </w:tc>
      </w:tr>
    </w:tbl>
    <w:p>
      <w:pPr>
        <w:pStyle w:val="Heading1"/>
        <w:spacing w:before="400" w:after="200"/>
      </w:pPr>
      <w:r>
        <w:rPr>
          <w:rFonts w:ascii="Calibri" w:cs="Calibri" w:eastAsia="Calibri" w:hAnsi="Calibri"/>
          <w:b/>
          <w:bCs/>
          <w:color w:val="2D3748"/>
          <w:sz w:val="36"/>
          <w:szCs w:val="36"/>
        </w:rPr>
        <w:t xml:space="preserve">Detailed Evaluation</w:t>
      </w:r>
    </w:p>
    <w:p>
      <w:pPr>
        <w:pStyle w:val="Heading2"/>
        <w:spacing w:before="360" w:after="80"/>
      </w:pPr>
      <w:r>
        <w:rPr>
          <w:rFonts w:ascii="Calibri" w:cs="Calibri" w:eastAsia="Calibri" w:hAnsi="Calibri"/>
          <w:b/>
          <w:bCs/>
          <w:color w:val="2D3748"/>
          <w:sz w:val="28"/>
          <w:szCs w:val="28"/>
        </w:rPr>
        <w:t xml:space="preserve">SEE — Transparency &amp; Visibility</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provides meaningful transparency into *what* the AI references (source citations, user prompts, retrieved documents) but operates as a black box on *how* the AI actually works. Users cannot see system prompts, cannot observe which model is handling a given query, cannot inspect chunking or retrieval logic, and cannot view or adjust inference parameters like temperature. The company discloses at a marketing level that it uses GPT-4o, GPT-o1, and Claude 3.5 Sonnet via Azure, and that it employs RAG and agentic routing—but none of this is surfaced in the product at the point of use. The claim that "every AI output can be traced back to the source data and prompt that produced it" is narrowly true for user prompts and cited sources, but does not extend to the system instructions, model selection decisions, or parameter configurations that fundamentally shape the output.</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polished, lawyer-friendly interface that abstracts away AI complexity, reducing the learning curve and enabling rapid adoption across legal teams who are not technical. Source-level citation transparency is genuinely useful for legal verification workflows.</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The organization has no ability to audit, understand, or learn from the AI mechanics driving outputs. If Legora silently swaps models, adjusts inference parameters, or changes retrieval strategies—all of which directly affect output quality—the organization has no visibility into those changes and no ability to diagnose quality regressions. This also impedes the organization's ability to build internal AI fluency, since the team interacts with a magic box rather than understanding the machinery.</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Will Legora expose per-query visibility into which specific model (GPT-4o, GPT-o1, Claude 3.5 Sonnet) generated a given output, and the routing logic that selected it? If not, how does the organization detect and diagnose quality changes when you swap or update models?</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access or audit the system prompts that instruct the AI's behavior, particularly for high-stakes legal workflows where the framing of instructions materially affects output? If not, what is the rationale for withholding them?</w:t>
      </w:r>
    </w:p>
    <w:p>
      <w:pPr>
        <w:pStyle w:val="ListParagraph"/>
        <w:numPr>
          <w:ilvl w:val="0"/>
          <w:numId w:val="1"/>
        </w:numPr>
        <w:spacing w:after="40"/>
        <w:ind w:left="360"/>
      </w:pPr>
      <w:r>
        <w:rPr>
          <w:rFonts w:ascii="Calibri" w:cs="Calibri" w:eastAsia="Calibri" w:hAnsi="Calibri"/>
          <w:color w:val="4A5568"/>
          <w:sz w:val="20"/>
          <w:szCs w:val="20"/>
        </w:rPr>
        <w:t xml:space="preserve">What notification or change management process exists when Legora modifies inference parameters, updates retrieval strategies, or switches underlying models—given that these changes directly impact the quality and character of legal outputs that may be relied upon for billable work?</w:t>
      </w:r>
    </w:p>
    <w:p>
      <w:pPr>
        <w:pStyle w:val="Heading2"/>
        <w:spacing w:before="360" w:after="80"/>
      </w:pPr>
      <w:r>
        <w:rPr>
          <w:rFonts w:ascii="Calibri" w:cs="Calibri" w:eastAsia="Calibri" w:hAnsi="Calibri"/>
          <w:b/>
          <w:bCs/>
          <w:color w:val="2D3748"/>
          <w:sz w:val="28"/>
          <w:szCs w:val="28"/>
        </w:rPr>
        <w:t xml:space="preserve">CHANGE — Customizability &amp; Control</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offers meaningful workflow-level customization but no access to the underlying AI layer. Users can create custom Workflows, Playbooks, and Shared Prompt Libraries that function as structured prompt chains anchored to firm-specific documents and standards—this is real and useful control over AI behavior in practice. However, the technical AI layer is fully abstracted: users cannot select or switch models (locked to Azure OpenAI's GPT-4o/o1), cannot adjust inference parameters like temperature, cannot modify RAG retrieval logic (chunking, embedding models, top-k), and cannot edit raw system prompts. The platform's "BYOK" offering covers encryption keys, not models—there is no "Bring Your Own Model" capability. This is a managed-service approach where Legora optimizes the AI pipeline internally and exposes only the application layer to users.</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polished, legal-domain-optimized AI experience that requires no ML engineering expertise to configure. Workflow and Playbook customization lets legal professionals shape AI behavior in terms they understand (firm standards, precedents, style guides) without touching technical parameters. This reduces implementation complexity and the risk of misconfiguration.</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Complete dependency on Legora's AI engineering decisions. If their model routing, chunking strategy, or inference settings produce suboptimal results for your specific use case, you have no lever to pull beyond restructuring your Workflows. You cannot swap in a competing model, tune retrieval precision, or adjust output creativity. This also means zero organizational learning about AI infrastructure—your team builds fluency in Legora's abstraction layer, not in AI itself. If Legora's model choices degrade (e.g., cost-optimizing to cheaper inference), you have no visibility into or control over that shift.</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enterprise customers request or configure specific model routing rules—for example, forcing GPT-o1 for reasoning-heavy tasks versus GPT-4o for summarization—or is all model selection fully automated and opaque?</w:t>
      </w:r>
    </w:p>
    <w:p>
      <w:pPr>
        <w:pStyle w:val="ListParagraph"/>
        <w:numPr>
          <w:ilvl w:val="0"/>
          <w:numId w:val="1"/>
        </w:numPr>
        <w:spacing w:after="40"/>
        <w:ind w:left="360"/>
      </w:pPr>
      <w:r>
        <w:rPr>
          <w:rFonts w:ascii="Calibri" w:cs="Calibri" w:eastAsia="Calibri" w:hAnsi="Calibri"/>
          <w:color w:val="4A5568"/>
          <w:sz w:val="20"/>
          <w:szCs w:val="20"/>
        </w:rPr>
        <w:t xml:space="preserve">Are there any plans to expose inference parameters (temperature, top-p) or RAG configuration settings (chunk size, retrieval depth, re-ranking logic) to enterprise administrators, even as an advanced or opt-in feature?</w:t>
      </w:r>
    </w:p>
    <w:p>
      <w:pPr>
        <w:pStyle w:val="ListParagraph"/>
        <w:numPr>
          <w:ilvl w:val="0"/>
          <w:numId w:val="1"/>
        </w:numPr>
        <w:spacing w:after="40"/>
        <w:ind w:left="360"/>
      </w:pPr>
      <w:r>
        <w:rPr>
          <w:rFonts w:ascii="Calibri" w:cs="Calibri" w:eastAsia="Calibri" w:hAnsi="Calibri"/>
          <w:color w:val="4A5568"/>
          <w:sz w:val="20"/>
          <w:szCs w:val="20"/>
        </w:rPr>
        <w:t xml:space="preserve">When Legora updates its underlying models or changes its RAG pipeline, how are enterprise customers notified, and do they have the ability to pin to a previous configuration or test changes before they go live?</w:t>
      </w:r>
    </w:p>
    <w:p>
      <w:pPr>
        <w:pStyle w:val="Heading2"/>
        <w:spacing w:before="360" w:after="80"/>
      </w:pPr>
      <w:r>
        <w:rPr>
          <w:rFonts w:ascii="Calibri" w:cs="Calibri" w:eastAsia="Calibri" w:hAnsi="Calibri"/>
          <w:b/>
          <w:bCs/>
          <w:color w:val="2D3748"/>
          <w:sz w:val="28"/>
          <w:szCs w:val="28"/>
        </w:rPr>
        <w:t xml:space="preserve">ADAPT — Vendor Agility &amp; Innovation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demonstrates a fast release cadence and rapid adoption of new OpenAI models via its strategic Azure partnership, with confirmed integration of GPT-4o and o1 shortly after their Azure availability. The shift to agentic workflows and RAG-based architecture shows genuine technical evolution. However, the vendor is locked into a single model provider ecosystem (Azure OpenAI), with no evidence of Anthropic, Google, or open-source model support. This is a meaningful agility risk: if a superior non-OpenAI model emerges—or if OpenAI's pricing or terms shift unfavorably—Legora's ability to pivot is structurally constrained. The claim of "always relying on the latest models" is accurate only within the narrow scope of one provider's offerings, which is not the same as keeping pace with the full AI landscape.</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vendor with a deep, optimized integration into the Azure/OpenAI ecosystem, enabling fast adoption of new OpenAI models, strong regional deployment capabilities, and enterprise-grade compliance infrastructure (ISO 42001, data residency). The tight coupling means features are well-tuned to the models they actually use.</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Model optionality. If Anthropic's Claude or Google's Gemini outperforms OpenAI on legal reasoning tasks—a plausible scenario given the pace of competition—Legora has no demonstrated ability to pivot. The organization is effectively making a bet on OpenAI's continued dominance through its vendor choice. Additionally, the lack of a published model evaluation framework means you're trusting Legora's internal judgment on when and how to adopt new model versions without visibility into their benchmarking rigor.</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Legora currently runs exclusively on Azure OpenAI. What is your concrete plan and timeline for supporting non-OpenAI models (e.g., Anthropic Claude, Google Gemini, open-source models)? If a competing model demonstrably outperforms GPT-o1 on legal reasoning benchmarks, how quickly could you integrate it?</w:t>
      </w:r>
    </w:p>
    <w:p>
      <w:pPr>
        <w:pStyle w:val="ListParagraph"/>
        <w:numPr>
          <w:ilvl w:val="0"/>
          <w:numId w:val="1"/>
        </w:numPr>
        <w:spacing w:after="40"/>
        <w:ind w:left="360"/>
      </w:pPr>
      <w:r>
        <w:rPr>
          <w:rFonts w:ascii="Calibri" w:cs="Calibri" w:eastAsia="Calibri" w:hAnsi="Calibri"/>
          <w:color w:val="4A5568"/>
          <w:sz w:val="20"/>
          <w:szCs w:val="20"/>
        </w:rPr>
        <w:t xml:space="preserve">Can you share specific benchmarking data or evaluation criteria you use when deciding to adopt a new model version? For example, what legal-task-specific tests did you run when moving from GPT-4 to GPT-4o to o1, and what performance thresholds must a new model meet before deployment?</w:t>
      </w:r>
    </w:p>
    <w:p>
      <w:pPr>
        <w:pStyle w:val="ListParagraph"/>
        <w:numPr>
          <w:ilvl w:val="0"/>
          <w:numId w:val="1"/>
        </w:numPr>
        <w:spacing w:after="40"/>
        <w:ind w:left="360"/>
      </w:pPr>
      <w:r>
        <w:rPr>
          <w:rFonts w:ascii="Calibri" w:cs="Calibri" w:eastAsia="Calibri" w:hAnsi="Calibri"/>
          <w:color w:val="4A5568"/>
          <w:sz w:val="20"/>
          <w:szCs w:val="20"/>
        </w:rPr>
        <w:t xml:space="preserve">Your architecture is tightly coupled to Azure infrastructure. If your organization needed to support a client requirement for a non-Azure deployment (e.g., AWS or on-premise), what would that migration path look like and on what timeline?</w:t>
      </w:r>
    </w:p>
    <w:p>
      <w:pPr>
        <w:pStyle w:val="Heading2"/>
        <w:spacing w:before="360" w:after="80"/>
      </w:pPr>
      <w:r>
        <w:rPr>
          <w:rFonts w:ascii="Calibri" w:cs="Calibri" w:eastAsia="Calibri" w:hAnsi="Calibri"/>
          <w:b/>
          <w:bCs/>
          <w:color w:val="2D3748"/>
          <w:sz w:val="28"/>
          <w:szCs w:val="28"/>
        </w:rPr>
        <w:t xml:space="preserve">USE — Genuine Utility &amp; Value</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demonstrates strong signals of genuine utility in legal workflows, but the evidence falls short of "measurably better outcomes" in a rigorous sense. The 80% adoption rate at BAHR and 30% daily power-user rate are compelling behavioral indicators—lawyers don't use tools 10+ times a day out of novelty. The "hours to seconds" claims for Tabular Review are plausible given the parallelized API architecture, and the breadth of top-tier firm adoption (Cleary Gottlieb, Bird &amp; Bird, DWF, Dentons) suggests the tool solves real problems. However, there are no published quantitative benchmarks comparing Legora's accuracy or speed against manual review, standard keyword search, or competing AI tools like Harvey. Every "measurable" claim is either a marketing assertion ("hours to seconds") or a qualitative testimonial. The absence of any disclosed error rate, precision/recall metric, or controlled productivity study means we cannot distinguish genuine superiority from well-marketed adequacy. The tool clearly solves problems that matter—security-compliant AI for sensitive legal work, large-scale document review, DMS integration—but the magnitude of the value-add over simpler or competing approaches remains unquantified.</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purpose-built legal AI workspace with deep workflow integration (Word, Outlook, iManage), strong security posture (ISO 27001, ISO 42001, SOC 2), and demonstrated high adoption at peer firms—reducing the risk of a failed rollout and addressing the #1 blocker to legal AI adoption (data security).</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A premium price point (£830–£1,250/user/year with 100-200 seat minimums, so £100K+ entry cost) justified primarily by testimonials rather than hard ROI data. The organization also accepts dependency on a vendor whose core differentiation may be workflow and security packaging around commodity foundation models—meaning the value gap could narrow as competitors mature.</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you provide a controlled benchmark or internal study showing Legora's accuracy (precision/recall) and time-to-completion on a standardized document review task versus manual review and versus at least one competing AI tool (e.g., Harvey, generic GPT-4 with RAG)?</w:t>
      </w:r>
    </w:p>
    <w:p>
      <w:pPr>
        <w:pStyle w:val="ListParagraph"/>
        <w:numPr>
          <w:ilvl w:val="0"/>
          <w:numId w:val="1"/>
        </w:numPr>
        <w:spacing w:after="40"/>
        <w:ind w:left="360"/>
      </w:pPr>
      <w:r>
        <w:rPr>
          <w:rFonts w:ascii="Calibri" w:cs="Calibri" w:eastAsia="Calibri" w:hAnsi="Calibri"/>
          <w:color w:val="4A5568"/>
          <w:sz w:val="20"/>
          <w:szCs w:val="20"/>
        </w:rPr>
        <w:t xml:space="preserve">What is the measured error or hallucination rate in production use across your customer base, and how does this vary by task type (e.g., due diligence extraction vs. legal research vs. drafting)?</w:t>
      </w:r>
    </w:p>
    <w:p>
      <w:pPr>
        <w:pStyle w:val="ListParagraph"/>
        <w:numPr>
          <w:ilvl w:val="0"/>
          <w:numId w:val="1"/>
        </w:numPr>
        <w:spacing w:after="40"/>
        <w:ind w:left="360"/>
      </w:pPr>
      <w:r>
        <w:rPr>
          <w:rFonts w:ascii="Calibri" w:cs="Calibri" w:eastAsia="Calibri" w:hAnsi="Calibri"/>
          <w:color w:val="4A5568"/>
          <w:sz w:val="20"/>
          <w:szCs w:val="20"/>
        </w:rPr>
        <w:t xml:space="preserve">Beyond adoption metrics, can you share concrete ROI data from a customer engagement—such as percentage reduction in time spent on due diligence, change in staffing ratios for document review projects, or cost savings on a specific matter—with enough detail to validate the methodology?</w:t>
      </w:r>
    </w:p>
    <w:p>
      <w:pPr>
        <w:pStyle w:val="Heading2"/>
        <w:spacing w:before="360" w:after="80"/>
      </w:pPr>
      <w:r>
        <w:rPr>
          <w:rFonts w:ascii="Calibri" w:cs="Calibri" w:eastAsia="Calibri" w:hAnsi="Calibri"/>
          <w:b/>
          <w:bCs/>
          <w:color w:val="2D3748"/>
          <w:sz w:val="28"/>
          <w:szCs w:val="28"/>
        </w:rPr>
        <w:t xml:space="preserve">LEARN — Transferable Knowledge</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builds meaningful transferable skills in prompting and AI output verification, but falls short on teaching users the broader AI principles that would make them genuinely fluent. The evidence is clear that effective use requires learning prompt engineering ("output quality is highly dependent on the quality of the user's prompt") and AI auditing (tracing outputs back to source data)—both portable skills. The workflow builder also teaches computational thinking by requiring users to decompose complex tasks into discrete, machine-executable steps. However, Legora abstracts away model selection entirely (users cannot choose between models or understand trade-offs between reasoning depth and speed), does not appear to surface how RAG works to end users despite using it extensively, and lacks any publicly available educational resources that teach underlying AI theory rather than tool-specific mechanics. The "Customer Enablement" program may fill this gap, but no evidence of its content exists publicly. The net effect is a tool that teaches users how to talk to AI and verify its work, but not how AI actually works—a meaningful distinction for long-term organizational AI fluency.</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Users develop real, portable skills in prompt engineering, structured data extraction, process decomposition, and critical evaluation of AI outputs—skills that transfer directly to any LLM-based tool or internal AI development effort. The shared prompt library feature also creates institutional knowledge that codifies AI interaction patterns across teams.</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Users never learn model selection, architecture trade-offs, or the mechanics of how RAG, embeddings, and retrieval actually work. The platform's deliberate abstraction of these layers means users may develop a false sense of AI competence—they can operate AI tools effectively but cannot reason about when and why AI approaches succeed or fail, limiting their ability to evaluate new AI tools or contribute to internal AI strategy.</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Does Legora's Customer Enablement program include structured training on foundational AI concepts (e.g., how RAG works, what embeddings are, why different models produce different results), or is training focused exclusively on how to use Legora's features effectively?</w:t>
      </w:r>
    </w:p>
    <w:p>
      <w:pPr>
        <w:pStyle w:val="ListParagraph"/>
        <w:numPr>
          <w:ilvl w:val="0"/>
          <w:numId w:val="1"/>
        </w:numPr>
        <w:spacing w:after="40"/>
        <w:ind w:left="360"/>
      </w:pPr>
      <w:r>
        <w:rPr>
          <w:rFonts w:ascii="Calibri" w:cs="Calibri" w:eastAsia="Calibri" w:hAnsi="Calibri"/>
          <w:color w:val="4A5568"/>
          <w:sz w:val="20"/>
          <w:szCs w:val="20"/>
        </w:rPr>
        <w:t xml:space="preserve">Are there plans to expose model selection or model metadata to users—even in a read-only capacity—so they can begin to understand which models are being used for which tasks and why?</w:t>
      </w:r>
    </w:p>
    <w:p>
      <w:pPr>
        <w:pStyle w:val="ListParagraph"/>
        <w:numPr>
          <w:ilvl w:val="0"/>
          <w:numId w:val="1"/>
        </w:numPr>
        <w:spacing w:after="40"/>
        <w:ind w:left="360"/>
      </w:pPr>
      <w:r>
        <w:rPr>
          <w:rFonts w:ascii="Calibri" w:cs="Calibri" w:eastAsia="Calibri" w:hAnsi="Calibri"/>
          <w:color w:val="4A5568"/>
          <w:sz w:val="20"/>
          <w:szCs w:val="20"/>
        </w:rPr>
        <w:t xml:space="preserve">Can you share specific examples of customers who have used skills developed on Legora to build internal AI capabilities or successfully adopt other AI tools, demonstrating genuine skill portability?</w:t>
      </w:r>
    </w:p>
    <w:p>
      <w:pPr>
        <w:pStyle w:val="Heading2"/>
        <w:spacing w:before="360" w:after="80"/>
      </w:pPr>
      <w:r>
        <w:rPr>
          <w:rFonts w:ascii="Calibri" w:cs="Calibri" w:eastAsia="Calibri" w:hAnsi="Calibri"/>
          <w:b/>
          <w:bCs/>
          <w:color w:val="2D3748"/>
          <w:sz w:val="28"/>
          <w:szCs w:val="28"/>
        </w:rPr>
        <w:t xml:space="preserve">EXIT — Portability &amp; Migration</w:t>
      </w:r>
      <w:r>
        <w:t xml:space="preserve">   </w:t>
      </w:r>
      <w:r>
        <w:rPr>
          <w:rFonts w:ascii="Calibri" w:cs="Calibri" w:eastAsia="Calibri" w:hAnsi="Calibri"/>
          <w:b/>
          <w:bCs/>
          <w:color w:val="D69E2E"/>
          <w:sz w:val="22"/>
          <w:szCs w:val="22"/>
        </w:rPr>
        <w:t xml:space="preserve">[Partial]</w:t>
      </w:r>
    </w:p>
    <w:p>
      <w:pPr>
        <w:spacing w:after="200"/>
      </w:pPr>
      <w:r>
        <w:rPr>
          <w:rFonts w:ascii="Calibri" w:cs="Calibri" w:eastAsia="Calibri" w:hAnsi="Calibri"/>
          <w:color w:val="4A5568"/>
          <w:sz w:val="22"/>
          <w:szCs w:val="22"/>
        </w:rPr>
        <w:t xml:space="preserve">Legora offers a split portability picture: raw data (documents, emails, tabular outputs) is exportable in standard formats like .docx and .xlsx, and the vendor explicitly commits to a full data export upon contract termination. However, the highest-value assets you build on the platform—agentic Workflows, Client Portal configurations, and accumulated AI context (vector embeddings, interaction history)—are locked in proprietary formats with no evidence of export capability via JSON, BPMN, or any public API. There is no developer API documentation, meaning automated bulk extraction of metadata, audit logs, or decision history cannot be independently verified. The practical result: you can leave with your documents, but the institutional knowledge you encode into Legora's workflow builder and the AI's learned context will be lost or require expensive manual reconstruction.</w:t>
      </w:r>
    </w:p>
    <w:p>
      <w:pPr>
        <w:spacing w:before="120" w:after="60"/>
      </w:pPr>
      <w:r>
        <w:rPr>
          <w:rFonts w:ascii="Calibri" w:cs="Calibri" w:eastAsia="Calibri" w:hAnsi="Calibri"/>
          <w:b/>
          <w:bCs/>
          <w:color w:val="2D3748"/>
          <w:sz w:val="22"/>
          <w:szCs w:val="22"/>
        </w:rPr>
        <w:t xml:space="preserve">Trade-offs</w:t>
      </w:r>
    </w:p>
    <w:p>
      <w:pPr>
        <w:spacing w:after="60"/>
        <w:ind w:left="360"/>
      </w:pPr>
      <w:r>
        <w:rPr>
          <w:rFonts w:ascii="Calibri" w:cs="Calibri" w:eastAsia="Calibri" w:hAnsi="Calibri"/>
          <w:b/>
          <w:bCs/>
          <w:color w:val="38A169"/>
          <w:sz w:val="20"/>
          <w:szCs w:val="20"/>
        </w:rPr>
        <w:t xml:space="preserve">+ Gain: </w:t>
      </w:r>
      <w:r>
        <w:rPr>
          <w:rFonts w:ascii="Calibri" w:cs="Calibri" w:eastAsia="Calibri" w:hAnsi="Calibri"/>
          <w:color w:val="4A5568"/>
          <w:sz w:val="20"/>
          <w:szCs w:val="20"/>
        </w:rPr>
        <w:t xml:space="preserve">A powerful no-code workflow builder that lets legal teams codify firm playbooks and complex agentic processes without engineering support, plus a polished client portal experience—capabilities that deliver real operational leverage while you're on the platform.</w:t>
      </w:r>
    </w:p>
    <w:p>
      <w:pPr>
        <w:spacing w:after="60"/>
        <w:ind w:left="360"/>
      </w:pPr>
      <w:r>
        <w:rPr>
          <w:rFonts w:ascii="Calibri" w:cs="Calibri" w:eastAsia="Calibri" w:hAnsi="Calibri"/>
          <w:b/>
          <w:bCs/>
          <w:color w:val="E53E3E"/>
          <w:sz w:val="20"/>
          <w:szCs w:val="20"/>
        </w:rPr>
        <w:t xml:space="preserve">− Give up: </w:t>
      </w:r>
      <w:r>
        <w:rPr>
          <w:rFonts w:ascii="Calibri" w:cs="Calibri" w:eastAsia="Calibri" w:hAnsi="Calibri"/>
          <w:color w:val="4A5568"/>
          <w:sz w:val="20"/>
          <w:szCs w:val="20"/>
        </w:rPr>
        <w:t xml:space="preserve">Every workflow, portal configuration, and piece of embedded firm logic becomes a sunk cost if you leave. The deeper your teams invest in building sophisticated workflows, the higher the switching cost. The absence of a public API or standard export format for workflow definitions means you cannot maintain a parallel, vendor-independent record of your process logic without manual documentation effort.</w:t>
      </w:r>
    </w:p>
    <w:p>
      <w:pPr>
        <w:spacing w:before="120" w:after="60"/>
      </w:pPr>
      <w:r>
        <w:rPr>
          <w:rFonts w:ascii="Calibri" w:cs="Calibri" w:eastAsia="Calibri" w:hAnsi="Calibri"/>
          <w:b/>
          <w:bCs/>
          <w:color w:val="2D3748"/>
          <w:sz w:val="22"/>
          <w:szCs w:val="22"/>
        </w:rPr>
        <w:t xml:space="preserve">Questions for Vendor</w:t>
      </w:r>
    </w:p>
    <w:p>
      <w:pPr>
        <w:pStyle w:val="ListParagraph"/>
        <w:numPr>
          <w:ilvl w:val="0"/>
          <w:numId w:val="1"/>
        </w:numPr>
        <w:spacing w:after="40"/>
        <w:ind w:left="360"/>
      </w:pPr>
      <w:r>
        <w:rPr>
          <w:rFonts w:ascii="Calibri" w:cs="Calibri" w:eastAsia="Calibri" w:hAnsi="Calibri"/>
          <w:color w:val="4A5568"/>
          <w:sz w:val="20"/>
          <w:szCs w:val="20"/>
        </w:rPr>
        <w:t xml:space="preserve">Can workflow definitions—including step logic, prompts, tool calls, and branching conditions—be exported in a machine-readable format (e.g., JSON, YAML, BPMN)? If not, what is the concrete migration path for a customer who has built 50+ production workflows?</w:t>
      </w:r>
    </w:p>
    <w:p>
      <w:pPr>
        <w:pStyle w:val="ListParagraph"/>
        <w:numPr>
          <w:ilvl w:val="0"/>
          <w:numId w:val="1"/>
        </w:numPr>
        <w:spacing w:after="40"/>
        <w:ind w:left="360"/>
      </w:pPr>
      <w:r>
        <w:rPr>
          <w:rFonts w:ascii="Calibri" w:cs="Calibri" w:eastAsia="Calibri" w:hAnsi="Calibri"/>
          <w:color w:val="4A5568"/>
          <w:sz w:val="20"/>
          <w:szCs w:val="20"/>
        </w:rPr>
        <w:t xml:space="preserve">Does Legora provide a documented API (REST or GraphQL) that allows programmatic extraction of all customer data, including audit logs, interaction history with full prompt/response pairs, and AI traceability metadata—not just source documents?</w:t>
      </w:r>
    </w:p>
    <w:p>
      <w:pPr>
        <w:pStyle w:val="ListParagraph"/>
        <w:numPr>
          <w:ilvl w:val="0"/>
          <w:numId w:val="1"/>
        </w:numPr>
        <w:spacing w:after="40"/>
        <w:ind w:left="360"/>
      </w:pPr>
      <w:r>
        <w:rPr>
          <w:rFonts w:ascii="Calibri" w:cs="Calibri" w:eastAsia="Calibri" w:hAnsi="Calibri"/>
          <w:color w:val="4A5568"/>
          <w:sz w:val="20"/>
          <w:szCs w:val="20"/>
        </w:rPr>
        <w:t xml:space="preserve">Upon contract termination, what exactly is included in the 'full export of your data'? Specifically, does it include workflow definitions, portal configurations, AI interaction logs, and vector embeddings, or only uploaded documents and tabular outputs?</w:t>
      </w:r>
    </w:p>
    <w:p>
      <w:pPr>
        <w:pStyle w:val="Heading1"/>
        <w:spacing w:before="400" w:after="200"/>
      </w:pPr>
      <w:r>
        <w:rPr>
          <w:rFonts w:ascii="Calibri" w:cs="Calibri" w:eastAsia="Calibri" w:hAnsi="Calibri"/>
          <w:b/>
          <w:bCs/>
          <w:color w:val="2D3748"/>
          <w:sz w:val="36"/>
          <w:szCs w:val="36"/>
        </w:rPr>
        <w:t xml:space="preserve">Trade-off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3748" w:val="solid"/>
          </w:tcPr>
          <w:p>
            <w:r>
              <w:rPr>
                <w:rFonts w:ascii="Calibri" w:cs="Calibri" w:eastAsia="Calibri" w:hAnsi="Calibri"/>
                <w:b/>
                <w:bCs/>
                <w:color w:val="FFFFFF"/>
                <w:sz w:val="18"/>
                <w:szCs w:val="18"/>
              </w:rPr>
              <w:t xml:space="preserve">Criterion</w:t>
            </w:r>
          </w:p>
        </w:tc>
        <w:tc>
          <w:tcPr>
            <w:shd w:color="2D3748" w:val="solid"/>
          </w:tcPr>
          <w:p>
            <w:r>
              <w:rPr>
                <w:rFonts w:ascii="Calibri" w:cs="Calibri" w:eastAsia="Calibri" w:hAnsi="Calibri"/>
                <w:b/>
                <w:bCs/>
                <w:color w:val="FFFFFF"/>
                <w:sz w:val="18"/>
                <w:szCs w:val="18"/>
              </w:rPr>
              <w:t xml:space="preserve">Result</w:t>
            </w:r>
          </w:p>
        </w:tc>
        <w:tc>
          <w:tcPr>
            <w:shd w:color="2D3748" w:val="solid"/>
          </w:tcPr>
          <w:p>
            <w:r>
              <w:rPr>
                <w:rFonts w:ascii="Calibri" w:cs="Calibri" w:eastAsia="Calibri" w:hAnsi="Calibri"/>
                <w:b/>
                <w:bCs/>
                <w:color w:val="FFFFFF"/>
                <w:sz w:val="18"/>
                <w:szCs w:val="18"/>
              </w:rPr>
              <w:t xml:space="preserve">You Gain</w:t>
            </w:r>
          </w:p>
        </w:tc>
        <w:tc>
          <w:tcPr>
            <w:shd w:color="2D3748" w:val="solid"/>
          </w:tcPr>
          <w:p>
            <w:r>
              <w:rPr>
                <w:rFonts w:ascii="Calibri" w:cs="Calibri" w:eastAsia="Calibri" w:hAnsi="Calibri"/>
                <w:b/>
                <w:bCs/>
                <w:color w:val="FFFFFF"/>
                <w:sz w:val="18"/>
                <w:szCs w:val="18"/>
              </w:rPr>
              <w:t xml:space="preserve">You Give Up</w:t>
            </w:r>
          </w:p>
        </w:tc>
      </w:tr>
      <w:tr>
        <w:tc>
          <w:tcPr>
            <w:shd w:color="FFFFFF" w:val="solid"/>
          </w:tcPr>
          <w:p>
            <w:r>
              <w:rPr>
                <w:rFonts w:ascii="Calibri" w:cs="Calibri" w:eastAsia="Calibri" w:hAnsi="Calibri"/>
                <w:b/>
                <w:bCs/>
                <w:color w:val="2D3748"/>
                <w:sz w:val="18"/>
                <w:szCs w:val="18"/>
              </w:rPr>
              <w:t xml:space="preserve">SEE</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A polished, lawyer-friendly interface that abstracts away AI complexity, reducing the learning curve and enabling rapid adoption across legal teams who are not technical. Source-level citation transparency is genuinely useful for legal verification workflows.</w:t>
            </w:r>
          </w:p>
        </w:tc>
        <w:tc>
          <w:tcPr>
            <w:shd w:color="FFFFFF" w:val="solid"/>
          </w:tcPr>
          <w:p>
            <w:r>
              <w:rPr>
                <w:rFonts w:ascii="Calibri" w:cs="Calibri" w:eastAsia="Calibri" w:hAnsi="Calibri"/>
                <w:color w:val="4A5568"/>
                <w:sz w:val="18"/>
                <w:szCs w:val="18"/>
              </w:rPr>
              <w:t xml:space="preserve">The organization has no ability to audit, understand, or learn from the AI mechanics driving outputs. If Legora silently swaps models, adjusts inference parameters, or changes retrieval strategies—all of which directly affect output quality—the organization has no visibility into those changes and no ability to diagnose quality regressions. This also impedes the organization's ability to build internal AI fluency, since the team interacts with a magic box rather than understanding the machinery.</w:t>
            </w:r>
          </w:p>
        </w:tc>
      </w:tr>
      <w:tr>
        <w:tc>
          <w:tcPr>
            <w:shd w:color="F7FAFC" w:val="solid"/>
          </w:tcPr>
          <w:p>
            <w:r>
              <w:rPr>
                <w:rFonts w:ascii="Calibri" w:cs="Calibri" w:eastAsia="Calibri" w:hAnsi="Calibri"/>
                <w:b/>
                <w:bCs/>
                <w:color w:val="2D3748"/>
                <w:sz w:val="18"/>
                <w:szCs w:val="18"/>
              </w:rPr>
              <w:t xml:space="preserve">CHANGE</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polished, legal-domain-optimized AI experience that requires no ML engineering expertise to configure. Workflow and Playbook customization lets legal professionals shape AI behavior in terms they understand (firm standards, precedents, style guides) without touching technical parameters. This reduces implementation complexity and the risk of misconfiguration.</w:t>
            </w:r>
          </w:p>
        </w:tc>
        <w:tc>
          <w:tcPr>
            <w:shd w:color="F7FAFC" w:val="solid"/>
          </w:tcPr>
          <w:p>
            <w:r>
              <w:rPr>
                <w:rFonts w:ascii="Calibri" w:cs="Calibri" w:eastAsia="Calibri" w:hAnsi="Calibri"/>
                <w:color w:val="4A5568"/>
                <w:sz w:val="18"/>
                <w:szCs w:val="18"/>
              </w:rPr>
              <w:t xml:space="preserve">Complete dependency on Legora's AI engineering decisions. If their model routing, chunking strategy, or inference settings produce suboptimal results for your specific use case, you have no lever to pull beyond restructuring your Workflows. You cannot swap in a competing model, tune retrieval precision, or adjust output creativity. This also means zero organizational learning about AI infrastructure—your team builds fluency in Legora's abstraction layer, not in AI itself. If Legora's model choices degrade (e.g., cost-optimizing to cheaper inference), you have no visibility into or control over that shift.</w:t>
            </w:r>
          </w:p>
        </w:tc>
      </w:tr>
      <w:tr>
        <w:tc>
          <w:tcPr>
            <w:shd w:color="FFFFFF" w:val="solid"/>
          </w:tcPr>
          <w:p>
            <w:r>
              <w:rPr>
                <w:rFonts w:ascii="Calibri" w:cs="Calibri" w:eastAsia="Calibri" w:hAnsi="Calibri"/>
                <w:b/>
                <w:bCs/>
                <w:color w:val="2D3748"/>
                <w:sz w:val="18"/>
                <w:szCs w:val="18"/>
              </w:rPr>
              <w:t xml:space="preserve">ADAPT</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A vendor with a deep, optimized integration into the Azure/OpenAI ecosystem, enabling fast adoption of new OpenAI models, strong regional deployment capabilities, and enterprise-grade compliance infrastructure (ISO 42001, data residency). The tight coupling means features are well-tuned to the models they actually use.</w:t>
            </w:r>
          </w:p>
        </w:tc>
        <w:tc>
          <w:tcPr>
            <w:shd w:color="FFFFFF" w:val="solid"/>
          </w:tcPr>
          <w:p>
            <w:r>
              <w:rPr>
                <w:rFonts w:ascii="Calibri" w:cs="Calibri" w:eastAsia="Calibri" w:hAnsi="Calibri"/>
                <w:color w:val="4A5568"/>
                <w:sz w:val="18"/>
                <w:szCs w:val="18"/>
              </w:rPr>
              <w:t xml:space="preserve">Model optionality. If Anthropic's Claude or Google's Gemini outperforms OpenAI on legal reasoning tasks—a plausible scenario given the pace of competition—Legora has no demonstrated ability to pivot. The organization is effectively making a bet on OpenAI's continued dominance through its vendor choice. Additionally, the lack of a published model evaluation framework means you're trusting Legora's internal judgment on when and how to adopt new model versions without visibility into their benchmarking rigor.</w:t>
            </w:r>
          </w:p>
        </w:tc>
      </w:tr>
      <w:tr>
        <w:tc>
          <w:tcPr>
            <w:shd w:color="F7FAFC" w:val="solid"/>
          </w:tcPr>
          <w:p>
            <w:r>
              <w:rPr>
                <w:rFonts w:ascii="Calibri" w:cs="Calibri" w:eastAsia="Calibri" w:hAnsi="Calibri"/>
                <w:b/>
                <w:bCs/>
                <w:color w:val="2D3748"/>
                <w:sz w:val="18"/>
                <w:szCs w:val="18"/>
              </w:rPr>
              <w:t xml:space="preserve">USE</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purpose-built legal AI workspace with deep workflow integration (Word, Outlook, iManage), strong security posture (ISO 27001, ISO 42001, SOC 2), and demonstrated high adoption at peer firms—reducing the risk of a failed rollout and addressing the #1 blocker to legal AI adoption (data security).</w:t>
            </w:r>
          </w:p>
        </w:tc>
        <w:tc>
          <w:tcPr>
            <w:shd w:color="F7FAFC" w:val="solid"/>
          </w:tcPr>
          <w:p>
            <w:r>
              <w:rPr>
                <w:rFonts w:ascii="Calibri" w:cs="Calibri" w:eastAsia="Calibri" w:hAnsi="Calibri"/>
                <w:color w:val="4A5568"/>
                <w:sz w:val="18"/>
                <w:szCs w:val="18"/>
              </w:rPr>
              <w:t xml:space="preserve">A premium price point (£830–£1,250/user/year with 100-200 seat minimums, so £100K+ entry cost) justified primarily by testimonials rather than hard ROI data. The organization also accepts dependency on a vendor whose core differentiation may be workflow and security packaging around commodity foundation models—meaning the value gap could narrow as competitors mature.</w:t>
            </w:r>
          </w:p>
        </w:tc>
      </w:tr>
      <w:tr>
        <w:tc>
          <w:tcPr>
            <w:shd w:color="FFFFFF" w:val="solid"/>
          </w:tcPr>
          <w:p>
            <w:r>
              <w:rPr>
                <w:rFonts w:ascii="Calibri" w:cs="Calibri" w:eastAsia="Calibri" w:hAnsi="Calibri"/>
                <w:b/>
                <w:bCs/>
                <w:color w:val="2D3748"/>
                <w:sz w:val="18"/>
                <w:szCs w:val="18"/>
              </w:rPr>
              <w:t xml:space="preserve">LEARN</w:t>
            </w:r>
          </w:p>
        </w:tc>
        <w:tc>
          <w:tcPr>
            <w:shd w:color="FFFFFF" w:val="solid"/>
          </w:tcPr>
          <w:p>
            <w:r>
              <w:rPr>
                <w:rFonts w:ascii="Calibri" w:cs="Calibri" w:eastAsia="Calibri" w:hAnsi="Calibri"/>
                <w:b/>
                <w:bCs/>
                <w:color w:val="D69E2E"/>
                <w:sz w:val="18"/>
                <w:szCs w:val="18"/>
              </w:rPr>
              <w:t xml:space="preserve">Partial</w:t>
            </w:r>
          </w:p>
        </w:tc>
        <w:tc>
          <w:tcPr>
            <w:shd w:color="FFFFFF" w:val="solid"/>
          </w:tcPr>
          <w:p>
            <w:r>
              <w:rPr>
                <w:rFonts w:ascii="Calibri" w:cs="Calibri" w:eastAsia="Calibri" w:hAnsi="Calibri"/>
                <w:color w:val="4A5568"/>
                <w:sz w:val="18"/>
                <w:szCs w:val="18"/>
              </w:rPr>
              <w:t xml:space="preserve">Users develop real, portable skills in prompt engineering, structured data extraction, process decomposition, and critical evaluation of AI outputs—skills that transfer directly to any LLM-based tool or internal AI development effort. The shared prompt library feature also creates institutional knowledge that codifies AI interaction patterns across teams.</w:t>
            </w:r>
          </w:p>
        </w:tc>
        <w:tc>
          <w:tcPr>
            <w:shd w:color="FFFFFF" w:val="solid"/>
          </w:tcPr>
          <w:p>
            <w:r>
              <w:rPr>
                <w:rFonts w:ascii="Calibri" w:cs="Calibri" w:eastAsia="Calibri" w:hAnsi="Calibri"/>
                <w:color w:val="4A5568"/>
                <w:sz w:val="18"/>
                <w:szCs w:val="18"/>
              </w:rPr>
              <w:t xml:space="preserve">Users never learn model selection, architecture trade-offs, or the mechanics of how RAG, embeddings, and retrieval actually work. The platform's deliberate abstraction of these layers means users may develop a false sense of AI competence—they can operate AI tools effectively but cannot reason about when and why AI approaches succeed or fail, limiting their ability to evaluate new AI tools or contribute to internal AI strategy.</w:t>
            </w:r>
          </w:p>
        </w:tc>
      </w:tr>
      <w:tr>
        <w:tc>
          <w:tcPr>
            <w:shd w:color="F7FAFC" w:val="solid"/>
          </w:tcPr>
          <w:p>
            <w:r>
              <w:rPr>
                <w:rFonts w:ascii="Calibri" w:cs="Calibri" w:eastAsia="Calibri" w:hAnsi="Calibri"/>
                <w:b/>
                <w:bCs/>
                <w:color w:val="2D3748"/>
                <w:sz w:val="18"/>
                <w:szCs w:val="18"/>
              </w:rPr>
              <w:t xml:space="preserve">EXIT</w:t>
            </w:r>
          </w:p>
        </w:tc>
        <w:tc>
          <w:tcPr>
            <w:shd w:color="F7FAFC" w:val="solid"/>
          </w:tcPr>
          <w:p>
            <w:r>
              <w:rPr>
                <w:rFonts w:ascii="Calibri" w:cs="Calibri" w:eastAsia="Calibri" w:hAnsi="Calibri"/>
                <w:b/>
                <w:bCs/>
                <w:color w:val="D69E2E"/>
                <w:sz w:val="18"/>
                <w:szCs w:val="18"/>
              </w:rPr>
              <w:t xml:space="preserve">Partial</w:t>
            </w:r>
          </w:p>
        </w:tc>
        <w:tc>
          <w:tcPr>
            <w:shd w:color="F7FAFC" w:val="solid"/>
          </w:tcPr>
          <w:p>
            <w:r>
              <w:rPr>
                <w:rFonts w:ascii="Calibri" w:cs="Calibri" w:eastAsia="Calibri" w:hAnsi="Calibri"/>
                <w:color w:val="4A5568"/>
                <w:sz w:val="18"/>
                <w:szCs w:val="18"/>
              </w:rPr>
              <w:t xml:space="preserve">A powerful no-code workflow builder that lets legal teams codify firm playbooks and complex agentic processes without engineering support, plus a polished client portal experience—capabilities that deliver real operational leverage while you're on the platform.</w:t>
            </w:r>
          </w:p>
        </w:tc>
        <w:tc>
          <w:tcPr>
            <w:shd w:color="F7FAFC" w:val="solid"/>
          </w:tcPr>
          <w:p>
            <w:r>
              <w:rPr>
                <w:rFonts w:ascii="Calibri" w:cs="Calibri" w:eastAsia="Calibri" w:hAnsi="Calibri"/>
                <w:color w:val="4A5568"/>
                <w:sz w:val="18"/>
                <w:szCs w:val="18"/>
              </w:rPr>
              <w:t xml:space="preserve">Every workflow, portal configuration, and piece of embedded firm logic becomes a sunk cost if you leave. The deeper your teams invest in building sophisticated workflows, the higher the switching cost. The absence of a public API or standard export format for workflow definitions means you cannot maintain a parallel, vendor-independent record of your process logic without manual documentation effort.</w:t>
            </w:r>
          </w:p>
        </w:tc>
      </w:tr>
    </w:tbl>
    <w:p>
      <w:pPr>
        <w:pStyle w:val="Heading1"/>
        <w:spacing w:before="400" w:after="200"/>
      </w:pPr>
      <w:r>
        <w:rPr>
          <w:rFonts w:ascii="Calibri" w:cs="Calibri" w:eastAsia="Calibri" w:hAnsi="Calibri"/>
          <w:b/>
          <w:bCs/>
          <w:color w:val="2D3748"/>
          <w:sz w:val="36"/>
          <w:szCs w:val="36"/>
        </w:rPr>
        <w:t xml:space="preserve">Key Questions for Your Decision</w:t>
      </w:r>
    </w:p>
    <w:p>
      <w:pPr>
        <w:spacing w:after="160"/>
      </w:pPr>
      <w:r>
        <w:rPr>
          <w:rFonts w:ascii="Calibri" w:cs="Calibri" w:eastAsia="Calibri" w:hAnsi="Calibri"/>
          <w:color w:val="4A5568"/>
          <w:sz w:val="22"/>
          <w:szCs w:val="22"/>
        </w:rPr>
        <w:t xml:space="preserve">Consider these strategic questions based on your organizational context and priorities.</w:t>
      </w:r>
    </w:p>
    <w:p>
      <w:pPr>
        <w:spacing w:after="120"/>
        <w:ind w:left="360"/>
      </w:pPr>
      <w:r>
        <w:rPr>
          <w:rFonts w:ascii="Calibri" w:cs="Calibri" w:eastAsia="Calibri" w:hAnsi="Calibri"/>
          <w:b/>
          <w:bCs/>
          <w:color w:val="2D3748"/>
          <w:sz w:val="22"/>
          <w:szCs w:val="22"/>
        </w:rPr>
        <w:t xml:space="preserve">1. </w:t>
      </w:r>
      <w:r>
        <w:rPr>
          <w:rFonts w:ascii="Calibri" w:cs="Calibri" w:eastAsia="Calibri" w:hAnsi="Calibri"/>
          <w:color w:val="4A5568"/>
          <w:sz w:val="22"/>
          <w:szCs w:val="22"/>
        </w:rPr>
        <w:t xml:space="preserve">How important is it to your firm that legal professionals develop genuine AI literacy—understanding model behavior, retrieval mechanics, and architecture trade-offs—versus simply becoming proficient users of AI-powered tools? If building deep organizational AI capability is a strategic priority, Legora's abstraction layer works against that goal.</w:t>
      </w:r>
    </w:p>
    <w:p>
      <w:pPr>
        <w:spacing w:after="120"/>
        <w:ind w:left="360"/>
      </w:pPr>
      <w:r>
        <w:rPr>
          <w:rFonts w:ascii="Calibri" w:cs="Calibri" w:eastAsia="Calibri" w:hAnsi="Calibri"/>
          <w:b/>
          <w:bCs/>
          <w:color w:val="2D3748"/>
          <w:sz w:val="22"/>
          <w:szCs w:val="22"/>
        </w:rPr>
        <w:t xml:space="preserve">2. </w:t>
      </w:r>
      <w:r>
        <w:rPr>
          <w:rFonts w:ascii="Calibri" w:cs="Calibri" w:eastAsia="Calibri" w:hAnsi="Calibri"/>
          <w:color w:val="4A5568"/>
          <w:sz w:val="22"/>
          <w:szCs w:val="22"/>
        </w:rPr>
        <w:t xml:space="preserve">What is your current and projected dependency on the OpenAI/Azure ecosystem? If your organization is already deeply invested in Microsoft infrastructure, Legora's tight coupling is a natural fit. If you're hedging across foundation model providers or see model optionality as strategically important, this vendor choice effectively forecloses that flexibility.</w:t>
      </w:r>
    </w:p>
    <w:p>
      <w:pPr>
        <w:spacing w:after="120"/>
        <w:ind w:left="360"/>
      </w:pPr>
      <w:r>
        <w:rPr>
          <w:rFonts w:ascii="Calibri" w:cs="Calibri" w:eastAsia="Calibri" w:hAnsi="Calibri"/>
          <w:b/>
          <w:bCs/>
          <w:color w:val="2D3748"/>
          <w:sz w:val="22"/>
          <w:szCs w:val="22"/>
        </w:rPr>
        <w:t xml:space="preserve">3. </w:t>
      </w:r>
      <w:r>
        <w:rPr>
          <w:rFonts w:ascii="Calibri" w:cs="Calibri" w:eastAsia="Calibri" w:hAnsi="Calibri"/>
          <w:color w:val="4A5568"/>
          <w:sz w:val="22"/>
          <w:szCs w:val="22"/>
        </w:rPr>
        <w:t xml:space="preserve">How much workflow and process logic would your teams realistically build inside Legora within the first 12-18 months, and what is your plan for maintaining a vendor-independent record of that institutional knowledge? The switching cost compounds with adoption success—the better Legora works for you, the harder it becomes to leave.</w:t>
      </w:r>
    </w:p>
    <w:p>
      <w:pPr>
        <w:spacing w:after="120"/>
        <w:ind w:left="360"/>
      </w:pPr>
      <w:r>
        <w:rPr>
          <w:rFonts w:ascii="Calibri" w:cs="Calibri" w:eastAsia="Calibri" w:hAnsi="Calibri"/>
          <w:b/>
          <w:bCs/>
          <w:color w:val="2D3748"/>
          <w:sz w:val="22"/>
          <w:szCs w:val="22"/>
        </w:rPr>
        <w:t xml:space="preserve">4. </w:t>
      </w:r>
      <w:r>
        <w:rPr>
          <w:rFonts w:ascii="Calibri" w:cs="Calibri" w:eastAsia="Calibri" w:hAnsi="Calibri"/>
          <w:color w:val="4A5568"/>
          <w:sz w:val="22"/>
          <w:szCs w:val="22"/>
        </w:rPr>
        <w:t xml:space="preserve">Is the £100K+ annual minimum investment justified by the security, compliance, and adoption packaging—or could your organization achieve comparable outcomes by assembling a lighter-weight stack (e.g., direct API access to foundation models plus a document management integration layer) that preserves more architectural control and organizational learning?</w:t>
      </w:r>
    </w:p>
    <w:p>
      <w:pPr>
        <w:spacing w:after="120"/>
        <w:ind w:left="360"/>
      </w:pPr>
      <w:r>
        <w:rPr>
          <w:rFonts w:ascii="Calibri" w:cs="Calibri" w:eastAsia="Calibri" w:hAnsi="Calibri"/>
          <w:b/>
          <w:bCs/>
          <w:color w:val="2D3748"/>
          <w:sz w:val="22"/>
          <w:szCs w:val="22"/>
        </w:rPr>
        <w:t xml:space="preserve">5. </w:t>
      </w:r>
      <w:r>
        <w:rPr>
          <w:rFonts w:ascii="Calibri" w:cs="Calibri" w:eastAsia="Calibri" w:hAnsi="Calibri"/>
          <w:color w:val="4A5568"/>
          <w:sz w:val="22"/>
          <w:szCs w:val="22"/>
        </w:rPr>
        <w:t xml:space="preserve">Given that Legora's core AI components rest on commodity foundation models, how do you assess the risk that competitors—including your existing legal tech vendors—close the workflow and integration gap within your expected contract period? What would your negotiating position look like at renewal if that gap narrows?</w:t>
      </w:r>
    </w:p>
    <w:p>
      <w:pPr>
        <w:spacing w:after="120"/>
        <w:ind w:left="360"/>
      </w:pPr>
      <w:r>
        <w:rPr>
          <w:rFonts w:ascii="Calibri" w:cs="Calibri" w:eastAsia="Calibri" w:hAnsi="Calibri"/>
          <w:b/>
          <w:bCs/>
          <w:color w:val="2D3748"/>
          <w:sz w:val="22"/>
          <w:szCs w:val="22"/>
        </w:rPr>
        <w:t xml:space="preserve">6. </w:t>
      </w:r>
      <w:r>
        <w:rPr>
          <w:rFonts w:ascii="Calibri" w:cs="Calibri" w:eastAsia="Calibri" w:hAnsi="Calibri"/>
          <w:color w:val="4A5568"/>
          <w:sz w:val="22"/>
          <w:szCs w:val="22"/>
        </w:rPr>
        <w:t xml:space="preserve">Is this tool intended to be your firm's primary AI touchpoint for legal professionals, or one element in a broader portfolio? If primary, the lack of model transparency and infrastructure learning becomes a more serious constraint on your organization's long-term AI strategy. If it's one tool among several, the abstraction trade-off may be acceptable in exchange for rapid deployment and high adoption rates.</w:t>
      </w:r>
    </w:p>
    <w:p>
      <w:pPr>
        <w:pBdr>
          <w:top w:val="single" w:color="E2E8F0" w:sz="6"/>
        </w:pBdr>
        <w:spacing w:before="600"/>
      </w:pPr>
    </w:p>
    <w:p>
      <w:pPr>
        <w:spacing w:before="200" w:after="60"/>
        <w:jc w:val="center"/>
      </w:pPr>
      <w:r>
        <w:rPr>
          <w:rFonts w:ascii="Calibri" w:cs="Calibri" w:eastAsia="Calibri" w:hAnsi="Calibri"/>
          <w:color w:val="4A5568"/>
          <w:spacing w:val="60"/>
          <w:sz w:val="18"/>
          <w:szCs w:val="18"/>
        </w:rPr>
        <w:t xml:space="preserve">CONFIDENTIAL — FOR INTERNAL USE ONLY</w:t>
      </w:r>
    </w:p>
    <w:p>
      <w:pPr>
        <w:spacing w:after="60"/>
        <w:jc w:val="center"/>
      </w:pPr>
      <w:r>
        <w:rPr>
          <w:rFonts w:ascii="Calibri" w:cs="Calibri" w:eastAsia="Calibri" w:hAnsi="Calibri"/>
          <w:color w:val="4A5568"/>
          <w:sz w:val="18"/>
          <w:szCs w:val="18"/>
        </w:rPr>
        <w:t xml:space="preserve">This evaluation assesses vendors on immediate utility and long-term organizational AI capacity building.</w:t>
      </w:r>
    </w:p>
    <w:p>
      <w:pPr>
        <w:jc w:val="center"/>
      </w:pPr>
      <w:r>
        <w:rPr>
          <w:rFonts w:ascii="Calibri" w:cs="Calibri" w:eastAsia="Calibri" w:hAnsi="Calibri"/>
          <w:color w:val="4A5568"/>
          <w:sz w:val="16"/>
          <w:szCs w:val="16"/>
        </w:rP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2026-06-18T12:03:21.721Z</dcterms:created>
  <dcterms:modified xsi:type="dcterms:W3CDTF">2026-06-18T12:03:21.721Z</dcterms:modified>
</cp:coreProperties>
</file>

<file path=docProps/custom.xml><?xml version="1.0" encoding="utf-8"?>
<Properties xmlns="http://schemas.openxmlformats.org/officeDocument/2006/custom-properties" xmlns:vt="http://schemas.openxmlformats.org/officeDocument/2006/docPropsVTypes"/>
</file>