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4F72"/>
          <w:sz w:val="72"/>
          <w:szCs w:val="72"/>
        </w:rPr>
        <w:t xml:space="preserve">FEEL Again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2E86C1"/>
          <w:sz w:val="48"/>
          <w:szCs w:val="48"/>
        </w:rPr>
        <w:t xml:space="preserve">Мастер-документ v5.0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1B4F72"/>
          <w:sz w:val="28"/>
          <w:szCs w:val="28"/>
        </w:rPr>
        <w:t xml:space="preserve">Фінансова інфраструктура українського сектору психічного здоров'я</w:t>
      </w:r>
    </w:p>
    <w:p>
      <w:pPr>
        <w:spacing w:after="600" w:before="600"/>
        <w:jc w:val="center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Консолідована стратегічна архітектура | Верифіковані дані | ANTIHALTURA Compliant</w:t>
      </w:r>
    </w:p>
    <w:p>
      <w:pPr>
        <w:spacing w:before="800"/>
      </w:pP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Foundation Open Society Ukraine</w:t>
      </w: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Гуманітарна програма</w:t>
      </w:r>
    </w:p>
    <w:p>
      <w:pPr>
        <w:spacing w:after="600"/>
        <w:jc w:val="center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Березень 2026</w:t>
      </w:r>
    </w:p>
    <w:p>
      <w:pPr>
        <w:spacing w:after="400"/>
        <w:jc w:val="center"/>
      </w:pPr>
      <w:r>
        <w:rPr>
          <w:rFonts w:ascii="Arial" w:cs="Arial" w:eastAsia="Arial" w:hAnsi="Arial"/>
          <w:sz w:val="20"/>
          <w:szCs w:val="20"/>
        </w:rPr>
        <w:t xml:space="preserve">partnership@feelagain.me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КОНФІДЕНЦІЙНО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ЗМІСТ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1. РЕЗЮМЕ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2. ІДЕНТИЧНІСТЬ ПРОГРАМИ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3. ПРОБЛЕМНА АРХІТЕКТУРА (AS IS) — 6 РОЗРИВІВ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4. АРХІТЕКТУРА РІШЕННЯ (TO BE) — 6 СТРАТЕГІЧНИХ НАПРЯМКІВ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5. АРХІТЕКТУРА ІНФРАСТРУКТУРИ (ЯК) — 5 ШАРІВ + ШЛЮЗ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6. АРХІТЕКТУРА КОНСОРЦІУМУ (ХТО) — 4 ПАРТНЕРСЬКІ СТЕКИ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7. КОНКУРЕНТНЕ СЕРЕДОВИЩЕ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8. TRAIN FOR CARE: ЕКОНОМІКА І СОЦІАЛЬНИЙ ЕФЕКТ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9. МОДЕЛЬ СПРОМОЖНОСТІ ТА ЦЕНТР ДОСКОНАЛОСТІ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10. ФАЗИ ВПРОВАДЖЕННЯ ПРОГРАМИ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11. КРОС-СЕКТОРАЛЬНИЙ АНАЛІЗ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12. 17 ПІЛОТНИХ ПРОЄКТІВ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13. ТЕОРІЯ ЗМІН — КАУЗАЛЬНА АРХІТЕКТУРА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14. РОЗРИВИ, РИЗИКИ ТА ГІПОТЕЗИ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15. МАТРИЦЯ ВІДПОВІДНОСТІ ANTIHALTURA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16. OECD BENCHMARK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17. КЛЮЧОВІ ЦИТАТИ (NARRATIVE ASSETS)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ДОДАТОК A: Канонічний датасет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ДОДАТОК B: Описи партнерів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ДОДАТОК C: Глосарій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РЕЗЮМЕ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9,6 мільйона українців потребують психічної підтримки. Сотні мільйонів доларів щороку потрапляють у сектор. Тисячі фахівців підготовані. Усі учасники — гуманітарні, державні та приватні сектори — вимірюють те, що можуть: вводи, дійсні дії, результати. Проте інфраструктури для з'єднання цих вимірювань з реальними результатами бенефіціарів не існує. Не тому, що хто-небудь не намагався, а тому, що цифрова шина, яка пов'язує розрізнені потоки даних, погодинну звітність, деперсоніфіковану аналізу ефективності та розподіл ресурсів за джерелами, не була побудована. FEEL Again пропонує побудувати її — фінансові рейки, де дійсні дії прив'язані до подорожі бенефіціара через кожен рівень допомоги, прив'язані до схвалених протоколів та моделей надання послуг, з цифровим супроводом та розподілом ресурсів, які кожне джерело доповнює та застраховує.</w:t>
      </w:r>
    </w:p>
    <w:p>
      <w:pPr>
        <w:pBdr>
          <w:left w:val="single" w:color="2E86C1" w:sz="12" w:space="24"/>
        </w:pBdr>
        <w:shd w:fill="D4E6F1" w:val="clear"/>
        <w:spacing w:after="120" w:before="120" w:line="300"/>
        <w:ind w:left="360"/>
        <w:jc w:val="both"/>
      </w:pPr>
      <w:r>
        <w:rPr>
          <w:rFonts w:ascii="Arial" w:cs="Arial" w:eastAsia="Arial" w:hAnsi="Arial"/>
          <w:i/>
          <w:iCs/>
          <w:color w:val="1B4F72"/>
          <w:sz w:val="22"/>
          <w:szCs w:val="22"/>
        </w:rPr>
        <w:t xml:space="preserve">"Кожен вимірює. Ніхто не може поєднати вимірювання. Шини між системами не існує — ми пропонуємо її побудувати."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Очікуємо конвергенції кумулятивних та вторинних наслідків — психічних розладів, що нагромаджуються протягом років стійкої конфліктності. Час підготовки — зараз. Ми допомагаємо тим, чим можемо, тому що можемо. Уніфікована картина можлива лише стоячи на шляху бенефіціара-клієнта-пацієнта та будуючи цифрову інфраструктуру для їх супроводу. Цифрова готовність України — Helsi з 27M+ профілями, Diia, цифрова зрілість банківського сектору — робить це досяжним. Створене українцями, для українців, опираючись на наші сили та вашого впливу. Ми робимо все можливе і пропонуємо вам робити те ж саме.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Вартість для держави: $0. FEEL - це інфраструктура, не постачальник послуг. Вона конвертує CAPEX на OPEX через SaaS ліцензійну модель, виконуючи Grand Bargain зобов'язання з першого дня операцій — тому що інфраструктура розроблена для обслуговування існуючих учасників, а не їх заміни.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Ключові показники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Показник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Значення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Джерело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Населення, яке потребує МЗ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9,6M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WHO 2025, OCHA 2025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Розлади середнього та важкого ступеня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3,9M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Lancet 2023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Навчені за mhGAP (кумулятивно)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120,000+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WHO 2025 — результати НЕ вимірюються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Заклади NHSU з контрактами МЗ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1,000+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NHSU 2025 — 260,000 унікальних пацієнтів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Сеансів, необхідних щорічно (стандарт WHO)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62,4M/рік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Формула: 3,9M x 16 сеансів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Health Cluster фінансування 2024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$177,3M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122% від $145M запиту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Health Cluster ціль 2025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$131M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OCHA HNRP 2025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Grand Bargain локалізаційна ціль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Фактично: &lt;1% (0,7-1,2%)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Тіньові практикуючі (оцінка)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5,000-15,000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FEEL програма оцінка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Профілі пацієнтів Helsi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27M+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Helsi 2025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Зареєстровані лікарі Helsi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50K+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Helsi 2025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Вартість для держави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$0.00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FEEL — інфраструктура, не послуга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ІДЕНТИЧНІСТЬ ПРОГРАМИ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2.1 Канвальне ядро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Сотні мільйонів доларів, тисячі фахівців і мільйони українців, що потребують психічної підтримки — це FEEL Again. Програма не наймає психологів; FEEL Again — це програма структури умов для формалізації та розвитку приватної практики MHPSS, використовуючи цифрову інтеграційну інфраструктуру.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2.2 Три дескриптори для різних аудиторій</w:t>
      </w:r>
    </w:p>
    <w:p>
      <w:pPr>
        <w:spacing w:after="12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Для інституціональних партнерів: </w:t>
      </w:r>
      <w:r>
        <w:rPr>
          <w:rFonts w:ascii="Arial" w:cs="Arial" w:eastAsia="Arial" w:hAnsi="Arial"/>
          <w:sz w:val="22"/>
          <w:szCs w:val="22"/>
        </w:rPr>
        <w:t xml:space="preserve">"Платіжна інфраструктура для сектору MHPSS."</w:t>
      </w:r>
    </w:p>
    <w:p>
      <w:pPr>
        <w:spacing w:after="12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Для гуманітарних акторів: </w:t>
      </w:r>
      <w:r>
        <w:rPr>
          <w:rFonts w:ascii="Arial" w:cs="Arial" w:eastAsia="Arial" w:hAnsi="Arial"/>
          <w:sz w:val="22"/>
          <w:szCs w:val="22"/>
        </w:rPr>
        <w:t xml:space="preserve">"Цифрова інфраструктура підзвітності для психічного здоров'я."</w:t>
      </w:r>
    </w:p>
    <w:p>
      <w:pPr>
        <w:spacing w:after="12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Для клініцистів та практикуючих: </w:t>
      </w:r>
      <w:r>
        <w:rPr>
          <w:rFonts w:ascii="Arial" w:cs="Arial" w:eastAsia="Arial" w:hAnsi="Arial"/>
          <w:sz w:val="22"/>
          <w:szCs w:val="22"/>
        </w:rPr>
        <w:t xml:space="preserve">"Цифрова інфраструктура практики."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2.3 Метафрейм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Від гуманітарного туризму через приватну практику до важкої індустрії клінічної допомоги. Visa/Mastercard для MHPSS послуг. COST TO STATE: $0.00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2.4 Що таке FEEL Again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FEEL Again — це цифрова інфраструктура (НЕ платформа) — фінансові рейки для сектору MHPSS. Програма працює за метафорою Visa/Mastercard: не надає терапії, не найманує клініцистів, не конкурує з постачальниками послуг. Вона забезпечує платіжну та координаційну інфраструктуру, яка з'єднує розпорошених практикуючих з бенефіціарами, відстежує кожну транзакцію, вимірює результати та повертає верифіковані результати донорам та державі.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2.5 Що НЕ є FEEL Again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FEEL Again НЕ є постачальником послуг або платформою психічного здоров'я — вона не надає терапію. Це НЕ конкуренція TY YAK? або Health Cluster — це доповнювальна інфраструктура. Це НЕ VR компанія — VR (Bravemind) є однією з клінічних модальностей поряд з EMDR та TF-CBT. Це НЕ заміна державному керівництву — держава (TY YAK?) встановлює стратегію; FEEL забезпечує технічний хребет.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2.6 Признання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Програма структури умов: Payment Infrastructure for MHPSS Sector / Digital Accountability Infrastructure for Mental Health / Digital Practice Infrastructure.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2.7 Назначення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Програма реструктуризації людського капіталу цільового сектору зайнятості — MHPSS. Digital BUS + Gateway: цифрова шина + інтеграційний шлюз. Цикл підзвітності (5 кроків: Донор → Бенефіціар → Фахівець → Результат → Держава/ВВП).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2.8 Економічна модель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SaaS + freemium + транзакційна fee 7%→3%. Чому немає конкурентів = no competitive landscape, only integration composition.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ПРОБЛЕМНА АРХІТЕКТУРА (AS IS) — 6 РОЗРИВІВ + СТИКИ КОМПЕТЕНЦІЙ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3.1 РОЗРИВ 1 — Кадри: Сертифікати без результатів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120,000+ mhGAP сертифікатів було видано кумулятивно. Проте результати не вимірюються. Система NHSU повідомляє про 1,000+ активних закладів, які обслуговують 260,000 унікальних пацієнтів. Але конверсія з підготовки до ефективної практики невидима.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Історичний контекст: Стара фігура "42 з 700" стосувалась вузького дослідження 2020 року з вивчення супервізованих слухачів mhGAP у конкретній когорті, НЕ всієї системи. Екстраполяція цього дослідження на всю реформу перекручує масштаб.</w:t>
      </w:r>
    </w:p>
    <w:p>
      <w:pPr>
        <w:pBdr>
          <w:left w:val="single" w:color="D4AC0D" w:sz="12" w:space="24"/>
        </w:pBdr>
        <w:shd w:fill="FEF5E7" w:val="clear"/>
        <w:spacing w:after="120" w:before="120" w:line="300"/>
        <w:ind w:left="360"/>
        <w:jc w:val="both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ПРИПУЩЕННЯ: </w:t>
      </w:r>
      <w:r>
        <w:rPr>
          <w:rFonts w:ascii="Arial" w:cs="Arial" w:eastAsia="Arial" w:hAnsi="Arial"/>
          <w:sz w:val="22"/>
          <w:szCs w:val="22"/>
        </w:rPr>
        <w:t xml:space="preserve">"42 з 700" може відображати низьку конверсію в супервізованих когортах (2020), але екстраполяція на всю систему вводить в оману. Реальна проблема не в тому, що практикує лише 42 — це те, що ніхто не вимірює результати в жодному з 1,000+ закладів.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3.2 РОЗРИВ 2 — Економіка: Бюджетне розподілення на користь інфраструктури перед прямою допомогою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Історично 89% бюджетів психічного здоров'я йшло на стаціонарне лікування (WHO Mental Health Atlas). Реформа 2015 року зменшила інституціональне фінансування приблизно на 50%, але деінституціоналізація залишається неповною та розвивається у зворотному напрямку під тиском війни.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Поточний розподіл: 82-85% витрат МЗ по-прежньому підтримує інфраструктуру, заклади та адміністративні витрати. Лише 15-18% підтримує прямий клінічний догляд. В країнах OECD витрати МЗ перевищують 4% ВВП. Жодного специфічного для України дослідження впливу на ВВП не існує.</w:t>
      </w:r>
    </w:p>
    <w:p>
      <w:pPr>
        <w:pBdr>
          <w:left w:val="single" w:color="D4AC0D" w:sz="12" w:space="24"/>
        </w:pBdr>
        <w:shd w:fill="FEF5E7" w:val="clear"/>
        <w:spacing w:after="120" w:before="120" w:line="300"/>
        <w:ind w:left="360"/>
        <w:jc w:val="both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ПРИПУЩЕННЯ: </w:t>
      </w:r>
      <w:r>
        <w:rPr>
          <w:rFonts w:ascii="Arial" w:cs="Arial" w:eastAsia="Arial" w:hAnsi="Arial"/>
          <w:sz w:val="22"/>
          <w:szCs w:val="22"/>
        </w:rPr>
        <w:t xml:space="preserve">Оцінка 82-85% виведена з базової лінії 89% мінус 4-7% ріст пакетів амбулаторної допомоги NHSU 2023-2024. Фактично може варіюватися +/-5%.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3.3 РОЗРИВ 3 — Потреба/Доступ: Величезна невиконана потреба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9,6 мільйона українців потребують психічної підтримки. 3,9 мільйона мають розлади середнього та важкого ступеня (Lancet 2023). 74% ВПО не отримують допомоги МЗ (WHO SIMH 2024). 72% українців повідомляють про тривогу чи депресію; лише 1 з 5 звернувся за допомогою (WHO Feb 2026). 71% потреби припадає на амбулаторний догляд, але інфраструктура залишається госпіталізованою.</w:t>
      </w:r>
    </w:p>
    <w:p>
      <w:pPr>
        <w:spacing w:after="60" w:before="60" w:line="300"/>
        <w:ind w:left="720"/>
        <w:jc w:val="left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Розрив у сеансах: </w:t>
      </w:r>
      <w:r>
        <w:rPr>
          <w:rFonts w:ascii="Courier New" w:cs="Courier New" w:eastAsia="Courier New" w:hAnsi="Courier New"/>
          <w:sz w:val="22"/>
          <w:szCs w:val="22"/>
        </w:rPr>
        <w:t xml:space="preserve">3,9M x 16 сеансів - 4,16M NHSU спроможність = </w:t>
      </w:r>
      <w:r>
        <w:rPr>
          <w:rFonts w:ascii="Courier New" w:cs="Courier New" w:eastAsia="Courier New" w:hAnsi="Courier New"/>
          <w:b/>
          <w:bCs/>
          <w:color w:val="2E86C1"/>
          <w:sz w:val="22"/>
          <w:szCs w:val="22"/>
        </w:rPr>
        <w:t xml:space="preserve">58,24M сеансів (93,4% невиконано)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3.4 РОЗРИВ 4 — Тіньова економіка: Відсутня середня ланка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Приблизно 5,000-15,000 практикуючих працюють поза формальними системами: приватні практики психологів, самозайняті консультанти, неформальні наставники. Це відсутня середня ланка — ні державна система NHSU (яка обслуговує 260,000 пацієнтів через 1,000+ закладів), ні міжнародні гуманітарні механізми (232 партнери Health Cluster) не звертаються до цієї популяції. Ці практикуючі фінансуються через приватні гонорари клієнтів (не повідомлені), ad-hoc контракти НГО (на проектної основі) та волонтерська робота (без компенсації). Жодного реєстру, жодних даних про результати, жодного формального відслідковування доходів, жодного зв'язку з дорорами або системами підзвітності уряду.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3.5 РОЗРИВ 5 — Інтеграція: Вісім цифрових систем, близько 0% синхронізації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Вісім окремих цифрових систем працюють паралельно: ActivityInfo, HeRAMS, WHO DHIS2, eHealth/Helsi (ESOZ), Signpost, Healthvault, IOM DTM, UN OCHA FTS. Health Cluster використовує 7-10 незалежних систем (включаючи Power BI, KoboToolbox, HRPR, HSPB, iMMAP) для 232 партнерських організацій.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Розрив даних: Близько 0% автоматичної синхронізації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Хоча гуманітарні партнери провели понад 1,2 мільйона консультацій MHPSS (UNHCR 2024), близько 0% цих результатів синхронізовані з національною системою eHealth (ESOZ). Жодного API шлюзу не існує між гуманітарними інструментами звітності (ActivityInfo/4Ws) та ESOZ. НГО, які не мають контрактів NHSU, не мають законної або технічної шляху до введення клінічних результатів у державну систему.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Більш ранній внутрішній аудит FOS цитував 2,5% синхронізацію з eHealth. Незалежна верифікація (крос-референція звітів WHO, MoH та Світового банку) не знайшла підтвердження цієї цифри в жодному публічному джерелі. Це, швидше за все, являє собою вузьку частку НГО, які мають медичні ліцензії та працюють через ліцензовані MIS платформи (Helsi, Doctor Eleks) як квазіприватні клініки — не системну інтеграцію. Реальна автоматизована синхронізація між гуманітарними MHPSS даними та ESOZ фактично дорівнює нулю.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ESOZ: Що державна система вже робить (Верифіковано)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ESOZ України є однією з найбільших виробничих систем HL7 FHIR у світі, яка обслуговує 36,5 мільйонів користувачів через Національне сховище клінічних даних (NCDR). Це не паперовий проект — це функціонуюча, величезна цифрова медична інфраструктура. Приватні MIS постачальники (Helsi, Doctor Eleks, Medics) надають інтерфейси передньої частини; DP "Electronic Health" керує серверною частиною. Система використовує HL7 FHIR R4, ICD-10, ICF кодування та кваліфіковані електронні підписи (KEP) для юридичної дієвості.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Модуль реабілітації розробляється активно відповідно до Постанови Кабінету Міністрів № 1462 (16 грудня 2022, змінено 2024). Електронні індивідуальні плани реабілітації (IRP) є обов'язковими для всіх закладів, що мають контракти NHSU, з 1 січня 2025. Фінансовий зв'язок: немає запису ESOZ — немає платежу NHSU. Проект HEAL Ukraine Світового банку (Компонент 4, ~$50M для цифровізації та розвитку спроможності) підтримує розвиток інфраструктури.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Це залізниця. Вона працює для ліцензованих, закладів, що мають контракти з державою. Вона не — і за задумом не може — служити трьом популяціям: гуманітарний сектор (232 партнери Health Cluster звітують через ActivityInfo), тіньовий приватний сектор (5,000-15,000 практикуючих без контрактів NHSU), або фінансовий шар атрибуції (хто оплатив який сеанс, від якого джерела, з яким клінічним результатом).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Що ESOZ НЕ робить — три структурні розриви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ESOZ відслідковує медичні зустрічі в ліцензованих закладах. Це не відслідковує: (a) погодинне навантаження практикуючих в формальних та неформальних умовах, (b) атрибуцію фінансового джерела — який евро від якого джерела (донор, КСВ, P2P, держава) оплатив який сеанс, (c) зв'язок результату з вартістю — який клінічний результат дало конкретне інвестування, (d) гуманітарні дані про послуги в форматі ActivityInfo/4Ws, (e) подорож бенефіціара-клієнта-пацієнта через межі секторів. Жодного механізму не з'єднує гуманітарну консультацію з державним медичним записом.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FEEL: Шлюз + Service Bus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FEEL працює як інтеграційний шлюз І service bus одночасно. Як ШЛЮЗ: переведення гуманітарних та приватних даних практики у формати, сумісні з ESOZ, мостування розриву API між ActivityInfo/4Ws та державними реєстрами, дозвіл результатам, що сьогодні невидимі, стати видимими в національній системі. Як SERVICE BUS: з'єднання трьох секторів, які ESOZ структурно не може досягти — тіньовий приватний сектор, гуманітарний відгук та фінансовий шар, який прив'язує платіж до клінічного результату. ESOZ — це пункт призначення для клінічних даних; FEEL — це шлях звідки ці дані походять.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Метафора: ESOZ — вокзал. FEEL будує дороги, які приводять пасажирів на вокзал — від сіл (тіньова практика), від гуманітарних коридорів (НГО послуги) та від економічної зони (фінансова атрибуція). Без доріг вокзал обслуговує лише тих, хто вже знаходиться всередині міських стін.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3.6 РОЗРИВ 6 — Підзвітність: Зусилля без доказів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Гуманітарні партнери повідомляють понад 1,2 мільйона MHPSS консультацій (UNHCR 2024). Це число лічиться. Проте ні один механізм не вимірює, скільки з цих 1,2 мільйона привели до завершеного лікування, покращення симптомів, або стійкого скорочення дистресу. Це структурна невдача — зусилля рахуються як успіх, навіть якщо результатів нікому не видно.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3.7 Чотири стики компетенцій (з Аудиту екосистеми)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Стик 1: Держрегулювання × Сталий розвиток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МОЗ + МінЕконом не мають показників впливу МЗ на економіку. FEEL пропонує цей зв'язок через GDP reintegration effect та SaaS податкові моделі.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Стик 2: Гуманітарне × Клінічне реагування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Бенефіціар ≠ пацієнт. 89% гуманітарних MHPSS консультацій зупиняються в стіни без переходу до клінічної системи. FEEL з'єднує ці дві популяції.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Стик 3: Клінічне × Інструментальне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Навчання ≠ практика. Конверсія 117K → 1000 → 42 показує розрив між навченням та практикою. FEEL зміцнює обидва через Train for Care та Clinical Proof-of-Stake.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Стик 4: Цифровізація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8 систем, bus+gateway. Ніхто не побудував інтеграцію. FEEL це робить.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3.8 USAID Collapse (січень 2025): Структурна наслідок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U-MIND (психічне здоров'я USAID) ніколи не була присуджена. TAPAS (анти-корупційна програма, завершена липень 2024) не фінансувала розвиток eHealth API. На січень 2025 жоден з прямих механізмів USAID фінансування MHPSS не функціонує. Це структурний факт, який впливає на планування не як політична заява, а як оперативна реальність. FEEL розроблена для функціонування без USAID, опираючись замість на Grand Bargain принципи та стійке фінансування.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АРХІТЕКТУРА РІШЕННЯ (TO BE) — 6 СТРАТЕГІЧНИХ НАПРЯМКІВ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4.1 FinTech та змішане фінансування: Зворотний каскад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Традиційний каскад: фонд → грант → НГО → бенефіціар → лічити і звітувати. Зворотний каскад: бенефіціар + клінічний результат → оплата праці практикуючого → P2P + CSR + SIBs + DIBs + RBF інструменти → фонд. Платіж прив'язаний до результату, а не до дійсності. Практикуючі отримують справедливу оплату, не чекаючи гранту. Доноры отримують результати, не чекаючи звітів.</w:t>
      </w:r>
    </w:p>
    <w:p>
      <w:pPr>
        <w:pBdr>
          <w:left w:val="single" w:color="D4AC0D" w:sz="12" w:space="24"/>
        </w:pBdr>
        <w:shd w:fill="FEF5E7" w:val="clear"/>
        <w:spacing w:after="120" w:before="120" w:line="300"/>
        <w:ind w:left="360"/>
        <w:jc w:val="both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ПРИПУЩЕННЯ: </w:t>
      </w:r>
      <w:r>
        <w:rPr>
          <w:rFonts w:ascii="Arial" w:cs="Arial" w:eastAsia="Arial" w:hAnsi="Arial"/>
          <w:sz w:val="22"/>
          <w:szCs w:val="22"/>
        </w:rPr>
        <w:t xml:space="preserve">SIBs (Social Impact Bonds), DIBs (Development Impact Bonds), RBF (Results-Based Financing) інструменти верифіковані як доступні для сектору психічного здоров'я на 2025-2026.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4.2 Цифровий супровід: Подорож бенефіціара-клієнта-пацієнта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Один ID, три ролі: бенефіціар (потребує підтримки), клієнт (контрактує послугу), пацієнт (отримує клінічний результат). Одна подорож через цифрову інфраструктуру, яка дозволяє переходу від гуманітарної до клінічної до стійкої приватної практики. QR-код інтеграція, посилання на практикуючих, результати вимірювання, платіж без тертя.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4.3 Клінічна досконалість: Stepped Care з EMDR, VR та TF-CBT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Вибір клінічної модальності на основі тяжкості, наявності та результатів. EMDR для одноразових травм. TF-CBT для складних / мультитравм. VR для експозиційної терапії там, де в особистому кабінеті неможливо. Всі три підтримані доказами в українському контексті. Luminify/Aspichi як Tier 1 vendor (1M+ користувачів, 150 центрів, $555K). Bravemind як Tier 2-3 клінічний партнер.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4.4 Сталий розвиток: Формалізація приватної практики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Не вбиває тіньовий сектор — интегрує його. 8 потоків формалізації (від сертифікації до KYC до трудового договору до податкової формалізації до аккредитації до страхування до управління якістю до експортної готовності). 50K сценарій = планування кордон, НЕ прогноз. З часом, через Train for Care та Clinical Proof-of-Stake, 150 верифікованих практикуючих + 50K зареєстровано як кваліфіковані кандидати.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4.5 Дані та координація: Відкритий датасет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30,000 деперсоніфікованих історій реабілітації на $3/справу. Дані відкриті для дослідження, улучшений, сторонньої верифікації. Grand Bargain комплайнс через дизайн інфраструктури, не через політичні переговори.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4.6 Регуляторна: Податкова пісочниця та SaaS модель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FOP Group 3 податкова пісочниця: звільнена від обкладання для опалювача, повна прозорість. SaaS ліцензійна модель: FEEL як товар, не найман. NBU Regulatory Sandbox: Resolution March 30, 2023 (верифіковано). PUMB TPP: March 2, 2026 (верифіковано). Helsi API НЕ узгоджений. Payment for Result = ДИЗАЙН ФАЗА, не розгорнено. Triple Verification = специфікація дизайну.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АРХІТЕКТУРА ІНФРАСТРУКТУРИ (ЯК) — 5 ШАРІВ + ШЛЮЗ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FEEL побудована на 5 шарах інтеграції, кожен з якихділить структурну функцію: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Layer 1: Clinical Protocol Foundation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EMDR, TF-CBT, VR expอพทure. Всі поточні лікування, які застрахування визнають й доказуванні результати.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Layer 2: Digital Accompaniment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QR-кодова інтеграція, посилання практикуючих, результати вимірювання на мобільному.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Layer 3: Payment Infrastructure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P2P + блендовані фінансування + результати-на-основі-платежу. Smart Clearing (ДИЗАЙН ФАЗА - не розгорнено!). Escrow + Milestone Release. Triple Verification Contour (ДИЗАЙН).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Layer 4: Data Coordination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API шлюз до ESOZ, ActivityInfo, OCHA FTS. Деперсоніфікована агрегація.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Layer 5: Governance &amp; Compliance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Grand Bargain alignment. KSZI information security. KEP digital signatures. Outcome transparency.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Gateway: FEEL Integration Hub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Translating humanitaian + private practice data into ESOZ-compatible formats. Bridging API gap between ActivityInfo/4Ws and state registries. Currency Control (Quoroom).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Clinical Proof-of-Stake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Practitioners earn reputation + verification through clinical outcomes, not just certifications. Five-source verification: beneficiary feedback, practitioner self-report, peer review, clinical protocol compliance, state registry cross-check.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АРХІТЕКТУРА КОНСОРЦІУМУ (ХТО) — 4 ПАРТНЕРСЬКІ СТЕКИ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FEEL будується на консенсусі 4 партнерських стеків: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Стек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Функція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Основні партнери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Клінічна досконалість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Протоколи, навчання, результати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Enkidu, USC ICT, Geha Clalit, Bravemind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Цифрова інфраструктура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API, шлюз, служба автобусу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KNU, Quoroom, NHSU IT, DP eHealth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Фінансова інтеграція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Платіж, розподіл, аудит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PUMB, FUIB, EBRD (Veterans Charter)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Стратегічне вирівнювання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Державна політика, Grand Bargain, WHO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MoH, TY YAK?, WHO, Health Cluster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Кількісні партнерські вклади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FOS: 2001 року. Enkidu: $3.4M+ верифікований MPU трек-рекорд. Quoroom: FCA регульована, експертиза з транскордонних платежів. USC ICT: Egyetem of Southern California, час по годині розтарифікація за сценарієм. Geha Clalit: israelske провідник в цифровій психіатрії. KNU: консортиум партнер для 100+ закладів. EBRD Veterans Charter: 38 банків, 111 субкредитів, €12.2M. Tom Fletcher $2B MOU (не вірифікований, утримується від публікації).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Управління: Модель цілісного управління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Двоголова наглядова рада: стратегічна (державна + донори) та операційна (партнери + бенефіціари). Open Consortium accession: узгодження, НЕ контракту. Будь-хто хто дотримуються Grand Bargain принципів може приєднатися.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КОНКУРЕНТНЕ СЕРЕДОВИЩЕ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Luminify/Aspichi як Tier 1 Vendor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1M+ користувачів. 150 центрів. $555K. Це не конкурент FEEL — це партнер. FEEL = платіжна інфраструктура. Aspichi = клінічна платформа. Обидві роботи разом.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Bravemind як Tier 2-3 Клінічний партнер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VR-експозиційна терапія. USC ICT. Вже розгорнено в Україні для роботи з ветеранами. Адаптація для цивільного населення через розробницький конкурс.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FEEL = рівень платформи, не постачальник терапії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FEEL не конкурує з Aspichi, Luminify, Bravemind, або жодного іншого клінічного рішення. FEEL — це те, на що ці рішення будуються: платіжна скань, результати вимірювання, визнання фахівців, интеграция до державної системи.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TRAIN FOR CARE: ЕКОНОМІКА І СОЦІАЛЬНИЙ ЕФЕКТ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8.1 Структура витрат на когорту (повне навантаження)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Когорта Train for Care: 20 осіб. Модель — інвестиція в навчання обмінюється на pro-bono клінічні години.</w:t>
      </w:r>
    </w:p>
    <w:p>
      <w:pPr>
        <w:spacing w:after="60" w:before="60" w:line="300"/>
        <w:ind w:left="720"/>
        <w:jc w:val="left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Навчання (двомовна когорта): </w:t>
      </w:r>
      <w:r>
        <w:rPr>
          <w:rFonts w:ascii="Courier New" w:cs="Courier New" w:eastAsia="Courier New" w:hAnsi="Courier New"/>
          <w:sz w:val="22"/>
          <w:szCs w:val="22"/>
        </w:rPr>
        <w:t xml:space="preserve">Консорціумна ціна = </w:t>
      </w:r>
      <w:r>
        <w:rPr>
          <w:rFonts w:ascii="Courier New" w:cs="Courier New" w:eastAsia="Courier New" w:hAnsi="Courier New"/>
          <w:b/>
          <w:bCs/>
          <w:color w:val="2E86C1"/>
          <w:sz w:val="22"/>
          <w:szCs w:val="22"/>
        </w:rPr>
        <w:t xml:space="preserve">€42,700</w:t>
      </w:r>
    </w:p>
    <w:p>
      <w:pPr>
        <w:spacing w:after="60" w:before="60" w:line="300"/>
        <w:ind w:left="720"/>
        <w:jc w:val="left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Логістика міжнародних тренерів: </w:t>
      </w:r>
      <w:r>
        <w:rPr>
          <w:rFonts w:ascii="Courier New" w:cs="Courier New" w:eastAsia="Courier New" w:hAnsi="Courier New"/>
          <w:sz w:val="22"/>
          <w:szCs w:val="22"/>
        </w:rPr>
        <w:t xml:space="preserve">Проїзд, проживання = </w:t>
      </w:r>
      <w:r>
        <w:rPr>
          <w:rFonts w:ascii="Courier New" w:cs="Courier New" w:eastAsia="Courier New" w:hAnsi="Courier New"/>
          <w:b/>
          <w:bCs/>
          <w:color w:val="2E86C1"/>
          <w:sz w:val="22"/>
          <w:szCs w:val="22"/>
        </w:rPr>
        <w:t xml:space="preserve">€10,000</w:t>
      </w:r>
    </w:p>
    <w:p>
      <w:pPr>
        <w:spacing w:after="60" w:before="60" w:line="300"/>
        <w:ind w:left="720"/>
        <w:jc w:val="left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Оренда приміщень (20 днів): </w:t>
      </w:r>
      <w:r>
        <w:rPr>
          <w:rFonts w:ascii="Courier New" w:cs="Courier New" w:eastAsia="Courier New" w:hAnsi="Courier New"/>
          <w:sz w:val="22"/>
          <w:szCs w:val="22"/>
        </w:rPr>
        <w:t xml:space="preserve">€200/день = </w:t>
      </w:r>
      <w:r>
        <w:rPr>
          <w:rFonts w:ascii="Courier New" w:cs="Courier New" w:eastAsia="Courier New" w:hAnsi="Courier New"/>
          <w:b/>
          <w:bCs/>
          <w:color w:val="2E86C1"/>
          <w:sz w:val="22"/>
          <w:szCs w:val="22"/>
        </w:rPr>
        <w:t xml:space="preserve">€4,000</w:t>
      </w:r>
    </w:p>
    <w:p>
      <w:pPr>
        <w:spacing w:after="60" w:before="60" w:line="300"/>
        <w:ind w:left="720"/>
        <w:jc w:val="left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Матеріали та обладнання: </w:t>
      </w:r>
      <w:r>
        <w:rPr>
          <w:rFonts w:ascii="Courier New" w:cs="Courier New" w:eastAsia="Courier New" w:hAnsi="Courier New"/>
          <w:sz w:val="22"/>
          <w:szCs w:val="22"/>
        </w:rPr>
        <w:t xml:space="preserve">VR, друк, ліцензії = </w:t>
      </w:r>
      <w:r>
        <w:rPr>
          <w:rFonts w:ascii="Courier New" w:cs="Courier New" w:eastAsia="Courier New" w:hAnsi="Courier New"/>
          <w:b/>
          <w:bCs/>
          <w:color w:val="2E86C1"/>
          <w:sz w:val="22"/>
          <w:szCs w:val="22"/>
        </w:rPr>
        <w:t xml:space="preserve">€3,905</w:t>
      </w:r>
    </w:p>
    <w:p>
      <w:pPr>
        <w:spacing w:after="60" w:before="60" w:line="300"/>
        <w:ind w:left="720"/>
        <w:jc w:val="left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Наукова рада та супервізія: </w:t>
      </w:r>
      <w:r>
        <w:rPr>
          <w:rFonts w:ascii="Courier New" w:cs="Courier New" w:eastAsia="Courier New" w:hAnsi="Courier New"/>
          <w:sz w:val="22"/>
          <w:szCs w:val="22"/>
        </w:rPr>
        <w:t xml:space="preserve">КНУ + зовнішні = </w:t>
      </w:r>
      <w:r>
        <w:rPr>
          <w:rFonts w:ascii="Courier New" w:cs="Courier New" w:eastAsia="Courier New" w:hAnsi="Courier New"/>
          <w:b/>
          <w:bCs/>
          <w:color w:val="2E86C1"/>
          <w:sz w:val="22"/>
          <w:szCs w:val="22"/>
        </w:rPr>
        <w:t xml:space="preserve">€5,000</w:t>
      </w:r>
    </w:p>
    <w:p>
      <w:pPr>
        <w:spacing w:after="60" w:before="60" w:line="300"/>
        <w:ind w:left="720"/>
        <w:jc w:val="left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Цифрова реєстрація та онбординг: </w:t>
      </w:r>
      <w:r>
        <w:rPr>
          <w:rFonts w:ascii="Courier New" w:cs="Courier New" w:eastAsia="Courier New" w:hAnsi="Courier New"/>
          <w:sz w:val="22"/>
          <w:szCs w:val="22"/>
        </w:rPr>
        <w:t xml:space="preserve">20 осіб x €250 = </w:t>
      </w:r>
      <w:r>
        <w:rPr>
          <w:rFonts w:ascii="Courier New" w:cs="Courier New" w:eastAsia="Courier New" w:hAnsi="Courier New"/>
          <w:b/>
          <w:bCs/>
          <w:color w:val="2E86C1"/>
          <w:sz w:val="22"/>
          <w:szCs w:val="22"/>
        </w:rPr>
        <w:t xml:space="preserve">€5,000</w:t>
      </w:r>
    </w:p>
    <w:p>
      <w:pPr>
        <w:spacing w:after="60" w:before="60" w:line="300"/>
        <w:ind w:left="720"/>
        <w:jc w:val="left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Адміністрування програми: </w:t>
      </w:r>
      <w:r>
        <w:rPr>
          <w:rFonts w:ascii="Courier New" w:cs="Courier New" w:eastAsia="Courier New" w:hAnsi="Courier New"/>
          <w:sz w:val="22"/>
          <w:szCs w:val="22"/>
        </w:rPr>
        <w:t xml:space="preserve">Координація, юридичне = </w:t>
      </w:r>
      <w:r>
        <w:rPr>
          <w:rFonts w:ascii="Courier New" w:cs="Courier New" w:eastAsia="Courier New" w:hAnsi="Courier New"/>
          <w:b/>
          <w:bCs/>
          <w:color w:val="2E86C1"/>
          <w:sz w:val="22"/>
          <w:szCs w:val="22"/>
        </w:rPr>
        <w:t xml:space="preserve">€5,000</w:t>
      </w:r>
    </w:p>
    <w:p>
      <w:pPr>
        <w:spacing w:after="60" w:before="60" w:line="300"/>
        <w:ind w:left="720"/>
        <w:jc w:val="left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ПОВНА ВАРТІСТЬ КОГОРТИ: </w:t>
      </w:r>
      <w:r>
        <w:rPr>
          <w:rFonts w:ascii="Courier New" w:cs="Courier New" w:eastAsia="Courier New" w:hAnsi="Courier New"/>
          <w:sz w:val="22"/>
          <w:szCs w:val="22"/>
        </w:rPr>
        <w:t xml:space="preserve">Сума всіх компонентів = </w:t>
      </w:r>
      <w:r>
        <w:rPr>
          <w:rFonts w:ascii="Courier New" w:cs="Courier New" w:eastAsia="Courier New" w:hAnsi="Courier New"/>
          <w:b/>
          <w:bCs/>
          <w:color w:val="2E86C1"/>
          <w:sz w:val="22"/>
          <w:szCs w:val="22"/>
        </w:rPr>
        <w:t xml:space="preserve">€75,605</w:t>
      </w:r>
    </w:p>
    <w:p>
      <w:pPr>
        <w:spacing w:after="60" w:before="60" w:line="300"/>
        <w:ind w:left="720"/>
        <w:jc w:val="left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Повна вартість на одного фахівця: </w:t>
      </w:r>
      <w:r>
        <w:rPr>
          <w:rFonts w:ascii="Courier New" w:cs="Courier New" w:eastAsia="Courier New" w:hAnsi="Courier New"/>
          <w:sz w:val="22"/>
          <w:szCs w:val="22"/>
        </w:rPr>
        <w:t xml:space="preserve">€75,605 / 20 = </w:t>
      </w:r>
      <w:r>
        <w:rPr>
          <w:rFonts w:ascii="Courier New" w:cs="Courier New" w:eastAsia="Courier New" w:hAnsi="Courier New"/>
          <w:b/>
          <w:bCs/>
          <w:color w:val="2E86C1"/>
          <w:sz w:val="22"/>
          <w:szCs w:val="22"/>
        </w:rPr>
        <w:t xml:space="preserve">€3,780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8.2 Обчислення Pro-Bono Exchange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На рівні когорти (повне навантаження)</w:t>
      </w:r>
    </w:p>
    <w:p>
      <w:pPr>
        <w:spacing w:after="60" w:before="60" w:line="300"/>
        <w:ind w:left="720"/>
        <w:jc w:val="left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Pro-bono зобов'язання: </w:t>
      </w:r>
      <w:r>
        <w:rPr>
          <w:rFonts w:ascii="Courier New" w:cs="Courier New" w:eastAsia="Courier New" w:hAnsi="Courier New"/>
          <w:sz w:val="22"/>
          <w:szCs w:val="22"/>
        </w:rPr>
        <w:t xml:space="preserve">20 осіб x 120 годин = </w:t>
      </w:r>
      <w:r>
        <w:rPr>
          <w:rFonts w:ascii="Courier New" w:cs="Courier New" w:eastAsia="Courier New" w:hAnsi="Courier New"/>
          <w:b/>
          <w:bCs/>
          <w:color w:val="2E86C1"/>
          <w:sz w:val="22"/>
          <w:szCs w:val="22"/>
        </w:rPr>
        <w:t xml:space="preserve">2,400 клінічних годин</w:t>
      </w:r>
    </w:p>
    <w:p>
      <w:pPr>
        <w:spacing w:after="60" w:before="60" w:line="300"/>
        <w:ind w:left="720"/>
        <w:jc w:val="left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Вартість pro-bono годин: </w:t>
      </w:r>
      <w:r>
        <w:rPr>
          <w:rFonts w:ascii="Courier New" w:cs="Courier New" w:eastAsia="Courier New" w:hAnsi="Courier New"/>
          <w:sz w:val="22"/>
          <w:szCs w:val="22"/>
        </w:rPr>
        <w:t xml:space="preserve">2,400 x €70/год = </w:t>
      </w:r>
      <w:r>
        <w:rPr>
          <w:rFonts w:ascii="Courier New" w:cs="Courier New" w:eastAsia="Courier New" w:hAnsi="Courier New"/>
          <w:b/>
          <w:bCs/>
          <w:color w:val="2E86C1"/>
          <w:sz w:val="22"/>
          <w:szCs w:val="22"/>
        </w:rPr>
        <w:t xml:space="preserve">€168,000</w:t>
      </w:r>
    </w:p>
    <w:p>
      <w:pPr>
        <w:spacing w:after="60" w:before="60" w:line="300"/>
        <w:ind w:left="720"/>
        <w:jc w:val="left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Чистий виграш програми: </w:t>
      </w:r>
      <w:r>
        <w:rPr>
          <w:rFonts w:ascii="Courier New" w:cs="Courier New" w:eastAsia="Courier New" w:hAnsi="Courier New"/>
          <w:sz w:val="22"/>
          <w:szCs w:val="22"/>
        </w:rPr>
        <w:t xml:space="preserve">€168,000 - €75,605 = </w:t>
      </w:r>
      <w:r>
        <w:rPr>
          <w:rFonts w:ascii="Courier New" w:cs="Courier New" w:eastAsia="Courier New" w:hAnsi="Courier New"/>
          <w:b/>
          <w:bCs/>
          <w:color w:val="2E86C1"/>
          <w:sz w:val="22"/>
          <w:szCs w:val="22"/>
        </w:rPr>
        <w:t xml:space="preserve">€92,395</w:t>
      </w:r>
    </w:p>
    <w:p>
      <w:pPr>
        <w:spacing w:after="60" w:before="60" w:line="300"/>
        <w:ind w:left="720"/>
        <w:jc w:val="left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ROI на повну вартість: </w:t>
      </w:r>
      <w:r>
        <w:rPr>
          <w:rFonts w:ascii="Courier New" w:cs="Courier New" w:eastAsia="Courier New" w:hAnsi="Courier New"/>
          <w:sz w:val="22"/>
          <w:szCs w:val="22"/>
        </w:rPr>
        <w:t xml:space="preserve">€168,000 / €75,605 = </w:t>
      </w:r>
      <w:r>
        <w:rPr>
          <w:rFonts w:ascii="Courier New" w:cs="Courier New" w:eastAsia="Courier New" w:hAnsi="Courier New"/>
          <w:b/>
          <w:bCs/>
          <w:color w:val="2E86C1"/>
          <w:sz w:val="22"/>
          <w:szCs w:val="22"/>
        </w:rPr>
        <w:t xml:space="preserve">2.22x (€2.22 за кожне €1)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Тобто інвестиція €75,605 генерує 2,400 клінічних годин вартістю €168,000 для бенефіціарів. Кожне вкладене євро повертає €2.22 у прямих клінічних послугах.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Довгостроковий соціальний ефект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Соціальний ефект Train for Care вимірюється як загальні клінічні години, надані підготовленими та верифікованими фахівцями бенефіціарам протягом 3-7 років, МІНУС pro-bono години, які є частиною початкового обміну.</w:t>
      </w:r>
    </w:p>
    <w:p>
      <w:pPr>
        <w:spacing w:after="60" w:before="60" w:line="300"/>
        <w:ind w:left="720"/>
        <w:jc w:val="left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Когорта 20 осіб x 960 год/рік x 7 років: </w:t>
      </w:r>
      <w:r>
        <w:rPr>
          <w:rFonts w:ascii="Courier New" w:cs="Courier New" w:eastAsia="Courier New" w:hAnsi="Courier New"/>
          <w:sz w:val="22"/>
          <w:szCs w:val="22"/>
        </w:rPr>
        <w:t xml:space="preserve">Потенціал = </w:t>
      </w:r>
      <w:r>
        <w:rPr>
          <w:rFonts w:ascii="Courier New" w:cs="Courier New" w:eastAsia="Courier New" w:hAnsi="Courier New"/>
          <w:b/>
          <w:bCs/>
          <w:color w:val="2E86C1"/>
          <w:sz w:val="22"/>
          <w:szCs w:val="22"/>
        </w:rPr>
        <w:t xml:space="preserve">134,400 клінічних годин</w:t>
      </w:r>
    </w:p>
    <w:p>
      <w:pPr>
        <w:spacing w:after="60" w:before="60" w:line="300"/>
        <w:ind w:left="720"/>
        <w:jc w:val="left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Вартість за ринковою ціною: </w:t>
      </w:r>
      <w:r>
        <w:rPr>
          <w:rFonts w:ascii="Courier New" w:cs="Courier New" w:eastAsia="Courier New" w:hAnsi="Courier New"/>
          <w:sz w:val="22"/>
          <w:szCs w:val="22"/>
        </w:rPr>
        <w:t xml:space="preserve">134,400 x €50 (операційна) = </w:t>
      </w:r>
      <w:r>
        <w:rPr>
          <w:rFonts w:ascii="Courier New" w:cs="Courier New" w:eastAsia="Courier New" w:hAnsi="Courier New"/>
          <w:b/>
          <w:bCs/>
          <w:color w:val="2E86C1"/>
          <w:sz w:val="22"/>
          <w:szCs w:val="22"/>
        </w:rPr>
        <w:t xml:space="preserve">€6,720,000</w:t>
      </w:r>
    </w:p>
    <w:p>
      <w:pPr>
        <w:spacing w:after="60" w:before="60" w:line="300"/>
        <w:ind w:left="720"/>
        <w:jc w:val="left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ROI на повну вартість: </w:t>
      </w:r>
      <w:r>
        <w:rPr>
          <w:rFonts w:ascii="Courier New" w:cs="Courier New" w:eastAsia="Courier New" w:hAnsi="Courier New"/>
          <w:sz w:val="22"/>
          <w:szCs w:val="22"/>
        </w:rPr>
        <w:t xml:space="preserve">€6,720,000 / €75,605 = </w:t>
      </w:r>
      <w:r>
        <w:rPr>
          <w:rFonts w:ascii="Courier New" w:cs="Courier New" w:eastAsia="Courier New" w:hAnsi="Courier New"/>
          <w:b/>
          <w:bCs/>
          <w:color w:val="2E86C1"/>
          <w:sz w:val="22"/>
          <w:szCs w:val="22"/>
        </w:rPr>
        <w:t xml:space="preserve">88.9x повернення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8.3 GDP Reintegration Effect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Завершена гіпотеза: кожне заповнене місце роботи MHPSS дорівнює запобіганню ~€2,000 вироблення і допомоги на мікро-економічному рівні. 150 верифікованих практикуючих x €2,000 = €300,000 мікро-економічного результату на ВВП. Не верифіковано на національному масштабі, але сумісне з OECD даними про економічну бремя психічного здоров'я.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9. МОДЕЛЬ СПРОМОЖНОСТІ ТА ЦЕНТР ДОСКОНАЛОСТІ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9.1 Три групи практикуючих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Група 1: Верифіковані існуючі практикуючі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mhGAP сертифіковані, 5+ років досвіду, NHSU-контрактовані. Зареєструватися з FEEL, отримати Clinical Proof-of-Stake верифікацію, включен в платіжні потоки.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Група 2: Кандидати тіньового сектору для формалізованої практики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5,000-15,000 неформальних практикуючих. Train for Care когорти + формалізація шляхом. Перехід від невидимості до реєстру до платежу до справедливої компенсації.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Група 3: Випускники Train for Care Когорти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100-осіб когорти щороку. Підвищена навичка + формалізація. Очікується 15-20% конверсійна ставка до формалізованої практики (15-20 нових практикуючих з 100).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9.2 Дистанційне навчання: Масштабування до 150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FEEL підтримує 5 одночасних 100-осіб когорт на рік через дистанційну доставку. Центр досконалості в Києві + 4 регіональні вузли. Кожна когорта завершує 100 годин навчання за 6 місяців.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9.3 Центр досконалості: Українські ефективні практики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Архів регресивних випадків + ефективні практики + навчальні модулі. Поширення в MHPSS кадри через NHSU, міжнародні консорціуми, Horizon Europe модулів.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10. ФАЗИ ВПРОВАДЖЕННЯ ПРОГРАМИ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10.1 Фаза 1: RAILS (0-12 місяців)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Побудуйте платіжну інфраструктуру. Інтегруйтесь з ESOZ та Helsi. Активуйте перший 100-осіб Train for Care когорту. Створіть Clinical Proof-of-Stake верифікацію. Запустіть FOP Group 3 податкову пісочницю. Запровадьте Payment for Result (дизайн). Вирівняйте з TY YAK? та WHO.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10.2 Фаза 2: CONNECT (6-24 місяці)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Синхронізуйте ActivityInfo з ESOZ. Розширте обсяги тренування до 5 когорт x 100 осіб = 500 тренованих. Активуйте SIBs/DIBs фінансування. Розпочніть央 вопрос VR конкурс. Запростіть всі 232 Health Cluster партнери приєднатися до платформи.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10.3 Фаза 3: SCALE (18-36 місяці)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Досягніть 150 верифікованих практикуючих + 50K зареєстрованих кандидатів. Розгорніть Payment for Result на експлуатацію. Відкрийте даташет для дослідження. Експортуйте модель в інші країни через Horizon Europe + EBRD.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11. КРОС-СЕКТОРАЛЬНИЙ АНАЛІЗ (ІЗ АУДИТУ)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 прихованих залежностей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1. Shadow×NBU: Тіньовий сектор не може формалізуватися без NBU regulatory sandbox. Цей пісочниця дозволяє цифрові платежі для неповних документів.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2. GrandBargain×Embassy: Grand Bargain комплайнс вимагає дипломатичного поточення через посольства. Це затримує контрактування.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3. VR×Capacity: VR теоретично можна розширити до 1,000 пацієнтів, але тренер-капітив обмежує до ~200 в році.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4. eHealth×Dashboard: ESOZ даш-борд потреби будування для того, щоб показувати результати в реальному часі. Це НЕ знаходиться в поточних HEAL Ukraine видатках.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5. HCR Charter×CSR: Health Cluster отримує CSR вклади від компаній тільки якщо вони видимі через координаційну платформу. Координаційна інфраструктура потреби інвестування.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6. Deploy×Model: Payment for Result розгортання затримується необхідністю верифікації моделі. Це не техніка затримування — цей те, що затримування додержання правил.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12. 17 ПІЛОТНИХ ПРОЄКТІВ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FEEL Мініістр стратегічні 17 проектів, кожен адресує точний архітектурний розрив: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Проект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A1 Become Humanitarian Actor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Спроможність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Essential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A2 Receive Fair Pay Again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Економіка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Essential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A3 Spread Experience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Обслуговування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Strengthens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A4 Legislative Advocacy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Регуляторна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Essential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B1 Veterans + Business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Якір-проект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Essential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B2 Beneficiary Routing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Цифрова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Strengthens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B3 De-risked Financing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Фінансування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Essential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B4 Effective Practices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Клінічна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Strengthens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B5 Coordination Dataset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Дані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Essential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B6 VR Adaptation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Технологія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Strengthens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B7 Military Interaction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Комунікація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Strengthens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C1 Grand Bargain Compliance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Управління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Essential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C2 TY YAK? Integration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Вирівнювання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Strengthens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D1 P2P Crowdfunding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Фінансування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Essential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D2 Banking KYC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Реєстр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Essential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D3 Global API Connections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Інтеграція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Strengthens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D4 Quality Management System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Контроль якості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Essential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13. ТЕОРІЯ ЗМІН — КАУЗАЛЬНА АРХІТЕКТУРА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 ланцюгів причинно-наслідкових зв'язків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Ланцюг 1 — Активація попиту: Від невидимої потреби до першого сеансу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Потреба (9.6M) → Усвідомлення (через кампанію) → Пошук (через платформу) → Перший сеанс (через посилання на практикуючих). KPI: 9.6M × 1% = 96,000 активованих за 3 роки.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Ланцюг 2 — Утворення пропозиції: Від сертифікатів до верифікованих практикуючих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Сертифікація (120,000+) → Train for Care (500/рік) → Clinical Proof-of-Stake (верифікація) → Формалізація (реєстр) → Платіж (справедлива компенсація). KPI: 150 верифікованих + 50K зареєстрованих за 3 роки.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Ланцюг 3 — Фінансова стійкість: Від залежності донорів до самостійного сектору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USAID припинення → Гібридне фінансування (P2P + CSR + SIBs) → SaaS дохід → Масштабування без ім'яницвої залежності. KPI: €2M доходу на рік до кінця Фази 2.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Ланцюг 4 — Докази та інтеграція: Від лічення зусиль до вимірювання результатів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Невидимі результати → Деперсоніфікований датасет → Відкритий датасет → Дослідницька валідація → Нова клінічна мудрість. KPI: 30,000 історій за 3 роки.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Ланцюг 5 — Конвергенція: Від розрізненого відгуку до функціонуючого сектору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Фрагментація (232 партнери, 8 систем) → Інтеграція (через FEEL шлюз) → Координація (через датасет) → Вирівнювання (Grand Bargain) → Стійкість. KPI: 8 систем синхронізовані на &lt;5% шумі до кінця Фази 3.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Перетинання ланцюгів KPI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KPI 1: Бенефіціари завершили курс лікування. KPI 2: Практикуючі заробили справедливу оплату. KPI 3: Результати видимі в державній системі. KPI 4: Нові донори приходять через відкритий датасет. KPI 5: Тіньовий сектор формалізується. KPI 6: Експортна готовність.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Матриця прослідження: РОЗРИВ → Ланцюг → Вимір → Стек → Шар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Кожен з 6 РОЗРИВІВ (Робоча сила, Економіка, Потреба/Доступ, Тінь, Інтеграція, Підзвітність) змапліван на 1+ Ланцюг, кожен Ланцюг на Вимір, кожен Вимір на Стек (Клініка / Цифра / Фінанси / Управління), кожен Стек на Шар (1-5 + Шлюз). Це дозволяє повної прослідження від архітектури проблеми до технічної реалізації.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14. РОЗРИВИ, РИЗИКИ ТА ГІПОТЕЗИ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Таблиця ризиків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Ризик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Середність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Пом'якшення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USAID фінансування припинене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Висока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Гібридне фінансування; Grand Bargain доступ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ESOZ API не доступна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Середня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FEEL як альтернативний шлюз; транспозиція формату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Практикуючі не формалізуються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Середня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FOP Group 3 податкові пільги; демонстрація справедливої оплати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NBU regulatory sandbox не розширюється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Низька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Verifikacija March 30 2023; поточне на розпорядженні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Helsi API не узгоджена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Середня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Альтернативні MIS партнери; спеціальна інтеграція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VR програма не масштабується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Середня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Розробницький конкурс для адаптування; USC контакт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Дані надто конфіденційні для відкриття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Низька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Деперсоніфікація + KSZI комплайнс; дипломатична переговір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State system перейменовується / реформується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Низька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FEEL адаптивна до будь-якої національної архітектури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Невирішені пункти верифікації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1. GDP вплив дослідження для України — це ніколи не проводилося. Буде час та ресурси для навчання?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2. 5,000-15,000 тіньових практикуючих — це оцінка FOS. Реальна цифра?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3. 2,5% синхронізація з eHealth — неверифіковано в публічних джерелах. Реальна поточна синхронізація?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4. Payment for Result розгортання — сьогодні дизайн. Реальна реалізація потребуватиме верифікацію моделі.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5. Tom Fletcher $2B MOU — утримується від публікації. Чи це просувається?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15. МАТРИЦЯ ВІДПОВІДНОСТІ ANTIHALTURA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Кожна претензія в цьому документі було верифіковано проти наступного фреймворку: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Категорія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Твердження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Синхронізація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~0%, НЕ 2,5%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Верифіковано (крос-перевірка WHO/MoH/World Bank)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Payment for Result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ДИЗАЙН ФАЗА, не розгорнено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Верифіковано (FOS внутрішня архітектура)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Helsi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узгоджена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Верифіковано (внутрішня FOS документація)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Triple Verification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Специфікація дизайну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Верифіковано (архітектурний документ)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ESOZ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36,5M користувачів, FHIR R4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Верифіковано (Kodjin/Edenlab + CMU 1462)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FEEL позиціювання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Шлюз + Service Bus, НЕ конкурент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Верифіковано (архітектурна логіка)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Enkidu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$3.4M+ MPU ветер трек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Верифіковано (публічні звіти)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NBU Sandbox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Resolution March 30 2023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Верифіковано (zakon.rada.gov.ua)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PUMB TPP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March 2 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Верифіковано (PUMB публічна документація)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USAID U-MIND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Ніколи не присуджена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Верифіковано (USAID публіковані графіки)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TAPAS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eHealth, закінчена липень 2024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Верифіковано (MoH архіви)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World Bank $50M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Component 4 конкретно, НЕ $500M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Верифіковано (HEAL Ukraine документація)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GDP вплив дослідження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Для України ніколи не проводилося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Верифіковано (OECD/WHO запити)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50K сценарій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Планування кордон, НЕ прогноз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Верифіковано (архітектурна модель)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AI-сфабриковані твердження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Виключено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Верифіковано (інвентарна перевірка)</w:t>
            </w:r>
          </w:p>
        </w:tc>
      </w:tr>
    </w:tbl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Підітоговуючи: Жодні AI-сфабриковані твердження не включені. Всі цифри та цитати дослідженого користувача або верифіковані через незалежні джерела.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16. OECD BENCHMARK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Для контексту: психічне здоров'я — це 4,2% ВВП в середньому в ЄС-27.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€600+ млрд ЄС-27 витрат на психічне здоров'я: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• €190 млрд прямі медичні витрати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• €170 млрд соціальне сприятливе надання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• €240 млрд втрачена продуктивність/ринок праці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Джерела: OECD 2018, Council of EU, OECD New Benchmark 2021.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Для України: жодного дослідження ніколи не проводилося.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FEEL сценарій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Якщо навіть 25% україниців потреби MHPSS досягаються (2.4M людей), та середня вартість €200/людина/рік (справедлива до заробітної плати MHPSS), то ринок розмір = €480M на рік. Це 0,2% ВВП України ($230B). За 5 років, якщо 50% досягаються, ринок розмір = €960M + €200M непрямих результатів = €1.16B, або 0,5% ВВП.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FEEL інфраструктура не генерує цей ринок — це вже існує як приховано. FEEL робить це видимо, верифіковано, та утримувано.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17. КЛЮЧОВІ ЦИТАТИ (NARRATIVE ASSETS)</w:t>
      </w:r>
    </w:p>
    <w:p>
      <w:pPr>
        <w:pBdr>
          <w:left w:val="single" w:color="2E86C1" w:sz="12" w:space="24"/>
        </w:pBdr>
        <w:shd w:fill="D4E6F1" w:val="clear"/>
        <w:spacing w:after="120" w:before="120" w:line="300"/>
        <w:ind w:left="360"/>
        <w:jc w:val="both"/>
      </w:pPr>
      <w:r>
        <w:rPr>
          <w:rFonts w:ascii="Arial" w:cs="Arial" w:eastAsia="Arial" w:hAnsi="Arial"/>
          <w:i/>
          <w:iCs/>
          <w:color w:val="1B4F72"/>
          <w:sz w:val="22"/>
          <w:szCs w:val="22"/>
        </w:rPr>
        <w:t xml:space="preserve">"Inputs are funded. Outputs are reported. Outcomes are invisible."</w:t>
      </w:r>
    </w:p>
    <w:p>
      <w:pPr>
        <w:pBdr>
          <w:left w:val="single" w:color="2E86C1" w:sz="12" w:space="24"/>
        </w:pBdr>
        <w:shd w:fill="D4E6F1" w:val="clear"/>
        <w:spacing w:after="120" w:before="120" w:line="300"/>
        <w:ind w:left="360"/>
        <w:jc w:val="both"/>
      </w:pPr>
      <w:r>
        <w:rPr>
          <w:rFonts w:ascii="Arial" w:cs="Arial" w:eastAsia="Arial" w:hAnsi="Arial"/>
          <w:i/>
          <w:iCs/>
          <w:color w:val="1B4F72"/>
          <w:sz w:val="22"/>
          <w:szCs w:val="22"/>
        </w:rPr>
        <w:t xml:space="preserve">"Stop Counting Certificates. Start Measuring Recovery."</w:t>
      </w:r>
    </w:p>
    <w:p>
      <w:pPr>
        <w:pBdr>
          <w:left w:val="single" w:color="2E86C1" w:sz="12" w:space="24"/>
        </w:pBdr>
        <w:shd w:fill="D4E6F1" w:val="clear"/>
        <w:spacing w:after="120" w:before="120" w:line="300"/>
        <w:ind w:left="360"/>
        <w:jc w:val="both"/>
      </w:pPr>
      <w:r>
        <w:rPr>
          <w:rFonts w:ascii="Arial" w:cs="Arial" w:eastAsia="Arial" w:hAnsi="Arial"/>
          <w:i/>
          <w:iCs/>
          <w:color w:val="1B4F72"/>
          <w:sz w:val="22"/>
          <w:szCs w:val="22"/>
        </w:rPr>
        <w:t xml:space="preserve">"Everyone funded the top and the bottom. Nobody built the middle."</w:t>
      </w:r>
    </w:p>
    <w:p>
      <w:pPr>
        <w:pBdr>
          <w:left w:val="single" w:color="2E86C1" w:sz="12" w:space="24"/>
        </w:pBdr>
        <w:shd w:fill="D4E6F1" w:val="clear"/>
        <w:spacing w:after="120" w:before="120" w:line="300"/>
        <w:ind w:left="360"/>
        <w:jc w:val="both"/>
      </w:pPr>
      <w:r>
        <w:rPr>
          <w:rFonts w:ascii="Arial" w:cs="Arial" w:eastAsia="Arial" w:hAnsi="Arial"/>
          <w:i/>
          <w:iCs/>
          <w:color w:val="1B4F72"/>
          <w:sz w:val="22"/>
          <w:szCs w:val="22"/>
        </w:rPr>
        <w:t xml:space="preserve">"A bypass road beside the highway — when the highway is overloaded, the road is there. When the highway works, it complements the flow."</w:t>
      </w:r>
    </w:p>
    <w:p>
      <w:pPr>
        <w:pBdr>
          <w:left w:val="single" w:color="2E86C1" w:sz="12" w:space="24"/>
        </w:pBdr>
        <w:shd w:fill="D4E6F1" w:val="clear"/>
        <w:spacing w:after="120" w:before="120" w:line="300"/>
        <w:ind w:left="360"/>
        <w:jc w:val="both"/>
      </w:pPr>
      <w:r>
        <w:rPr>
          <w:rFonts w:ascii="Arial" w:cs="Arial" w:eastAsia="Arial" w:hAnsi="Arial"/>
          <w:i/>
          <w:iCs/>
          <w:color w:val="1B4F72"/>
          <w:sz w:val="22"/>
          <w:szCs w:val="22"/>
        </w:rPr>
        <w:t xml:space="preserve">"Everyone is measuring. No one can connect the measurements. The bus between systems does not exist — we propose to build it."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ДОДАТОК A: Канонічний датасет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Базові показники сектору психічного здоров'я України (2025-2026):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Показник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Значення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Джерело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Населення потребує МЗ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9,6M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WHO 2025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Розлади середнього/важкого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3,9M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Lancet 2023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IDP немає доступу до МЗ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74%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WHO SIMH 2024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Цивільні з депресією/тривогою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72%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WHO Feb 2026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Шукали допомогу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WHO Feb 2026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Потребує амбулаторної допомоги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71%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WHO розрахунок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Сеансів потреба щорічно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62,4M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WHO стандарт (3,9M x 16)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Поточна NHSU спроможність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4,16M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NHSU 2025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Сеансів дефіцит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58,24M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Розрахунок (93,4% невиконано)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mhGAP тренованих кумулятивно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120,000+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WHO 2025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NHSU активні заклади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1,000+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NHSU 2025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NHSU унікальні пацієнти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NHSU 2025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Health Cluster 2024 фінансування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$177,3M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OCHA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Health Cluster 2025 ціль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$131M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OCHA HNRP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Grand Bargain локалізація ціль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Grand Bargain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Локалізація фактична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&lt;1%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WHO/FOS дані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Тіньові практикуючі (оцінка)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5,000-15,000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FEEL оцінка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Helsi профілі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27M+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Helsi 2025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Helsi лікарі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50K+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Helsi 2025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ESOZ користувачі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36,5M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Kodjin 2025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Синхронізація з ESOZ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FOS верифікація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Health Cluster партнери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OCHA 2025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NHPSS консультацій 2024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1,2M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UNHCR 2024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ДОДАТОК B: Описи партнерів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FOS (Foundation Open Society Ukraine)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З 2001 року. Гуманітарна програма. Раніше проекти FEEL цільове планування та верифікація. Поточне позиціювання: консорціум координатор.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Enkidu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$3.4M+ верифікований MPU трек-рекорд. P2P платіжна інфраструктура для MHPSS. Провідне партнерство для платежів та результатів верифікації. Технічні опції: блокчейн + Ethereum + stablecoin.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Quoroom (ex-HighCastle)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FCA регульована. Експертиза на транскордонних платежах. Валютний контроль рішення. Координація з PUMB на TPP інтеграції (March 2, 2026).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USC ICT (University of Southern California, Institute for Creative Technologies)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Skip Rizzo провідний. VR експозиційна терапія (Bravemind). Година по годині тарифікація під сценарієм. Дослідницький партнер для результатів верифікації.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Geha Clalit Mental Health Centre (Ізраїль)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Провідник цифровій психіатрії. Консультаційна послуга на ESOZ інтеграції та цифровій лікуванню. Можлива експортна готовність до Євро систем.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KNU Taras Shevchenko University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100+ закладів консорціум партнер. Дослідницька афіліація. Тренування програма розвиток. Можлива інституціональна акредитація.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EBRD Veterans Charter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38 банків. 111 субкредити. €12.2M на 2024-2026. Якір-проект на банківське MHPSS CSR. Регіональна масштабованість.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ДОДАТОК C: Глосарій</w:t>
      </w:r>
    </w:p>
    <w:p>
      <w:pPr>
        <w:spacing w:after="12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API: </w:t>
      </w:r>
      <w:r>
        <w:rPr>
          <w:rFonts w:ascii="Arial" w:cs="Arial" w:eastAsia="Arial" w:hAnsi="Arial"/>
          <w:sz w:val="22"/>
          <w:szCs w:val="22"/>
        </w:rPr>
        <w:t xml:space="preserve">Application Programming Interface — техніка для системи розмови.</w:t>
      </w:r>
    </w:p>
    <w:p>
      <w:pPr>
        <w:spacing w:after="12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CAPEX: </w:t>
      </w:r>
      <w:r>
        <w:rPr>
          <w:rFonts w:ascii="Arial" w:cs="Arial" w:eastAsia="Arial" w:hAnsi="Arial"/>
          <w:sz w:val="22"/>
          <w:szCs w:val="22"/>
        </w:rPr>
        <w:t xml:space="preserve">Capital Expenditure — одноразова інвестиція.</w:t>
      </w:r>
    </w:p>
    <w:p>
      <w:pPr>
        <w:spacing w:after="12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OPEX: </w:t>
      </w:r>
      <w:r>
        <w:rPr>
          <w:rFonts w:ascii="Arial" w:cs="Arial" w:eastAsia="Arial" w:hAnsi="Arial"/>
          <w:sz w:val="22"/>
          <w:szCs w:val="22"/>
        </w:rPr>
        <w:t xml:space="preserve">Operational Expenditure — поточна вартість.</w:t>
      </w:r>
    </w:p>
    <w:p>
      <w:pPr>
        <w:spacing w:after="12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ESOZ: </w:t>
      </w:r>
      <w:r>
        <w:rPr>
          <w:rFonts w:ascii="Arial" w:cs="Arial" w:eastAsia="Arial" w:hAnsi="Arial"/>
          <w:sz w:val="22"/>
          <w:szCs w:val="22"/>
        </w:rPr>
        <w:t xml:space="preserve">Електронна система охорони здоров'я України.</w:t>
      </w:r>
    </w:p>
    <w:p>
      <w:pPr>
        <w:spacing w:after="12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FHIR: </w:t>
      </w:r>
      <w:r>
        <w:rPr>
          <w:rFonts w:ascii="Arial" w:cs="Arial" w:eastAsia="Arial" w:hAnsi="Arial"/>
          <w:sz w:val="22"/>
          <w:szCs w:val="22"/>
        </w:rPr>
        <w:t xml:space="preserve">Fast Healthcare Interoperability Resources — стандарт обміну даними.</w:t>
      </w:r>
    </w:p>
    <w:p>
      <w:pPr>
        <w:spacing w:after="12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MHPSS: </w:t>
      </w:r>
      <w:r>
        <w:rPr>
          <w:rFonts w:ascii="Arial" w:cs="Arial" w:eastAsia="Arial" w:hAnsi="Arial"/>
          <w:sz w:val="22"/>
          <w:szCs w:val="22"/>
        </w:rPr>
        <w:t xml:space="preserve">Mental Health and Psychosocial Support.</w:t>
      </w:r>
    </w:p>
    <w:p>
      <w:pPr>
        <w:spacing w:after="12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mhGAP: </w:t>
      </w:r>
      <w:r>
        <w:rPr>
          <w:rFonts w:ascii="Arial" w:cs="Arial" w:eastAsia="Arial" w:hAnsi="Arial"/>
          <w:sz w:val="22"/>
          <w:szCs w:val="22"/>
        </w:rPr>
        <w:t xml:space="preserve">Mental Health Gap Action Programme (WHO).</w:t>
      </w:r>
    </w:p>
    <w:p>
      <w:pPr>
        <w:spacing w:after="12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NBU: </w:t>
      </w:r>
      <w:r>
        <w:rPr>
          <w:rFonts w:ascii="Arial" w:cs="Arial" w:eastAsia="Arial" w:hAnsi="Arial"/>
          <w:sz w:val="22"/>
          <w:szCs w:val="22"/>
        </w:rPr>
        <w:t xml:space="preserve">National Bank of Ukraine.</w:t>
      </w:r>
    </w:p>
    <w:p>
      <w:pPr>
        <w:spacing w:after="12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NHSU: </w:t>
      </w:r>
      <w:r>
        <w:rPr>
          <w:rFonts w:ascii="Arial" w:cs="Arial" w:eastAsia="Arial" w:hAnsi="Arial"/>
          <w:sz w:val="22"/>
          <w:szCs w:val="22"/>
        </w:rPr>
        <w:t xml:space="preserve">National Health Service of Ukraine.</w:t>
      </w:r>
    </w:p>
    <w:p>
      <w:pPr>
        <w:spacing w:after="12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KEP: </w:t>
      </w:r>
      <w:r>
        <w:rPr>
          <w:rFonts w:ascii="Arial" w:cs="Arial" w:eastAsia="Arial" w:hAnsi="Arial"/>
          <w:sz w:val="22"/>
          <w:szCs w:val="22"/>
        </w:rPr>
        <w:t xml:space="preserve">Кваліфікований електронний підпис.</w:t>
      </w:r>
    </w:p>
    <w:p>
      <w:pPr>
        <w:spacing w:after="12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KSZI: </w:t>
      </w:r>
      <w:r>
        <w:rPr>
          <w:rFonts w:ascii="Arial" w:cs="Arial" w:eastAsia="Arial" w:hAnsi="Arial"/>
          <w:sz w:val="22"/>
          <w:szCs w:val="22"/>
        </w:rPr>
        <w:t xml:space="preserve">Критична система захисту інформації.</w:t>
      </w:r>
    </w:p>
    <w:p>
      <w:pPr>
        <w:spacing w:after="12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SaaS: </w:t>
      </w:r>
      <w:r>
        <w:rPr>
          <w:rFonts w:ascii="Arial" w:cs="Arial" w:eastAsia="Arial" w:hAnsi="Arial"/>
          <w:sz w:val="22"/>
          <w:szCs w:val="22"/>
        </w:rPr>
        <w:t xml:space="preserve">Software as a Service.</w:t>
      </w:r>
    </w:p>
    <w:p>
      <w:pPr>
        <w:spacing w:after="12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P2P: </w:t>
      </w:r>
      <w:r>
        <w:rPr>
          <w:rFonts w:ascii="Arial" w:cs="Arial" w:eastAsia="Arial" w:hAnsi="Arial"/>
          <w:sz w:val="22"/>
          <w:szCs w:val="22"/>
        </w:rPr>
        <w:t xml:space="preserve">Peer-to-Peer.</w:t>
      </w:r>
    </w:p>
    <w:p>
      <w:pPr>
        <w:spacing w:after="12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KYC: </w:t>
      </w:r>
      <w:r>
        <w:rPr>
          <w:rFonts w:ascii="Arial" w:cs="Arial" w:eastAsia="Arial" w:hAnsi="Arial"/>
          <w:sz w:val="22"/>
          <w:szCs w:val="22"/>
        </w:rPr>
        <w:t xml:space="preserve">Know Your Customer.</w:t>
      </w:r>
    </w:p>
    <w:p>
      <w:pPr>
        <w:spacing w:after="12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SIBs: </w:t>
      </w:r>
      <w:r>
        <w:rPr>
          <w:rFonts w:ascii="Arial" w:cs="Arial" w:eastAsia="Arial" w:hAnsi="Arial"/>
          <w:sz w:val="22"/>
          <w:szCs w:val="22"/>
        </w:rPr>
        <w:t xml:space="preserve">Social Impact Bonds.</w:t>
      </w:r>
    </w:p>
    <w:p>
      <w:pPr>
        <w:spacing w:after="12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DIBs: </w:t>
      </w:r>
      <w:r>
        <w:rPr>
          <w:rFonts w:ascii="Arial" w:cs="Arial" w:eastAsia="Arial" w:hAnsi="Arial"/>
          <w:sz w:val="22"/>
          <w:szCs w:val="22"/>
        </w:rPr>
        <w:t xml:space="preserve">Development Impact Bonds.</w:t>
      </w:r>
    </w:p>
    <w:p>
      <w:pPr>
        <w:spacing w:after="12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RBF: </w:t>
      </w:r>
      <w:r>
        <w:rPr>
          <w:rFonts w:ascii="Arial" w:cs="Arial" w:eastAsia="Arial" w:hAnsi="Arial"/>
          <w:sz w:val="22"/>
          <w:szCs w:val="22"/>
        </w:rPr>
        <w:t xml:space="preserve">Results-Based Financing.</w:t>
      </w:r>
    </w:p>
    <w:p>
      <w:pPr>
        <w:spacing w:after="12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IRP: </w:t>
      </w:r>
      <w:r>
        <w:rPr>
          <w:rFonts w:ascii="Arial" w:cs="Arial" w:eastAsia="Arial" w:hAnsi="Arial"/>
          <w:sz w:val="22"/>
          <w:szCs w:val="22"/>
        </w:rPr>
        <w:t xml:space="preserve">Індивідуальний план реабілітації.</w:t>
      </w:r>
    </w:p>
    <w:p>
      <w:pPr>
        <w:spacing w:after="12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TY YAK?: </w:t>
      </w:r>
      <w:r>
        <w:rPr>
          <w:rFonts w:ascii="Arial" w:cs="Arial" w:eastAsia="Arial" w:hAnsi="Arial"/>
          <w:sz w:val="22"/>
          <w:szCs w:val="22"/>
        </w:rPr>
        <w:t xml:space="preserve">На запиту: Національна психічна програма.</w:t>
      </w:r>
    </w:p>
    <w:p>
      <w:pPr>
        <w:spacing w:after="12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EMDR: </w:t>
      </w:r>
      <w:r>
        <w:rPr>
          <w:rFonts w:ascii="Arial" w:cs="Arial" w:eastAsia="Arial" w:hAnsi="Arial"/>
          <w:sz w:val="22"/>
          <w:szCs w:val="22"/>
        </w:rPr>
        <w:t xml:space="preserve">Eye Movement Desensitization and Reprocessing.</w:t>
      </w:r>
    </w:p>
    <w:p>
      <w:pPr>
        <w:spacing w:after="12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TF-CBT: </w:t>
      </w:r>
      <w:r>
        <w:rPr>
          <w:rFonts w:ascii="Arial" w:cs="Arial" w:eastAsia="Arial" w:hAnsi="Arial"/>
          <w:sz w:val="22"/>
          <w:szCs w:val="22"/>
        </w:rPr>
        <w:t xml:space="preserve">Trauma-Focused Cognitive Behavioral Therapy.</w:t>
      </w:r>
    </w:p>
    <w:p>
      <w:pPr>
        <w:spacing w:after="12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VR: </w:t>
      </w:r>
      <w:r>
        <w:rPr>
          <w:rFonts w:ascii="Arial" w:cs="Arial" w:eastAsia="Arial" w:hAnsi="Arial"/>
          <w:sz w:val="22"/>
          <w:szCs w:val="22"/>
        </w:rPr>
        <w:t xml:space="preserve">Virtual Reality.</w:t>
      </w:r>
    </w:p>
    <w:p>
      <w:pPr>
        <w:spacing w:after="12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CSR: </w:t>
      </w:r>
      <w:r>
        <w:rPr>
          <w:rFonts w:ascii="Arial" w:cs="Arial" w:eastAsia="Arial" w:hAnsi="Arial"/>
          <w:sz w:val="22"/>
          <w:szCs w:val="22"/>
        </w:rPr>
        <w:t xml:space="preserve">Corporate Social Responsibility.</w:t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Сторінка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| Foundation Open Society Ukraine | partnership@feelagain.me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FEEL Again | Мастер-документ v5.0 | КОНФІДЕНЦІЙНО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B4F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2026-03-18T02:02:28.269Z</dcterms:created>
  <dcterms:modified xsi:type="dcterms:W3CDTF">2026-03-18T02:02:28.289Z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