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0"/>
        <w:jc w:val="center"/>
      </w:pPr>
      <w:r>
        <w:drawing>
          <wp:inline distT="0" distB="0" distL="0" distR="0">
            <wp:extent cx="257175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1676400"/>
                    </a:xfrm>
                    <a:prstGeom prst="rect">
                      <a:avLst/>
                    </a:prstGeom>
                  </pic:spPr>
                </pic:pic>
              </a:graphicData>
            </a:graphic>
          </wp:inline>
        </w:drawing>
      </w:r>
    </w:p>
    <w:p>
      <w:pPr>
        <w:spacing w:after="500"/>
        <w:jc w:val="center"/>
      </w:pPr>
      <w:r>
        <w:rPr>
          <w:rFonts w:ascii="Calibri" w:cs="Calibri" w:eastAsia="Calibri" w:hAnsi="Calibri"/>
          <w:i/>
          <w:iCs/>
          <w:color w:val="E8482B"/>
          <w:sz w:val="32"/>
          <w:szCs w:val="32"/>
        </w:rPr>
        <w:t xml:space="preserve">L'école dans la poche pour les enfants hors du système scolaire</w:t>
      </w:r>
    </w:p>
    <w:p>
      <w:pPr>
        <w:spacing w:after="200"/>
        <w:jc w:val="center"/>
      </w:pPr>
      <w:r>
        <w:rPr>
          <w:rFonts w:ascii="Calibri" w:cs="Calibri" w:eastAsia="Calibri" w:hAnsi="Calibri"/>
          <w:b/>
          <w:bCs/>
          <w:color w:val="262626"/>
          <w:sz w:val="28"/>
          <w:szCs w:val="28"/>
        </w:rPr>
        <w:t xml:space="preserve">NOTE CONCEPTUELLE &amp; DOSSIER DE PROJET PILOTE</w:t>
      </w:r>
    </w:p>
    <w:p>
      <w:pPr>
        <w:spacing w:after="3200"/>
        <w:jc w:val="center"/>
      </w:pPr>
      <w:r>
        <w:rPr>
          <w:rFonts w:ascii="Calibri" w:cs="Calibri" w:eastAsia="Calibri" w:hAnsi="Calibri"/>
          <w:color w:val="595959"/>
          <w:sz w:val="24"/>
          <w:szCs w:val="24"/>
        </w:rPr>
        <w:t xml:space="preserve">Alphabétisation numérique autonome — Côte d'Ivoire &amp; Afrique de l'Ouest</w:t>
      </w:r>
    </w:p>
    <w:p>
      <w:pPr>
        <w:spacing w:after="60"/>
        <w:jc w:val="center"/>
      </w:pPr>
      <w:r>
        <w:rPr>
          <w:rFonts w:ascii="Calibri" w:cs="Calibri" w:eastAsia="Calibri" w:hAnsi="Calibri"/>
          <w:color w:val="595959"/>
          <w:sz w:val="22"/>
          <w:szCs w:val="22"/>
        </w:rPr>
        <w:t xml:space="preserve">Version 1.0 — Juillet 2026</w:t>
      </w:r>
    </w:p>
    <w:p>
      <w:pPr>
        <w:jc w:val="center"/>
      </w:pPr>
      <w:r>
        <w:rPr>
          <w:rFonts w:ascii="Calibri" w:cs="Calibri" w:eastAsia="Calibri" w:hAnsi="Calibri"/>
          <w:i/>
          <w:iCs/>
          <w:color w:val="595959"/>
          <w:sz w:val="18"/>
          <w:szCs w:val="18"/>
        </w:rPr>
        <w:t xml:space="preserve">Document confidentiel — destiné aux partenaires et bailleurs</w:t>
      </w:r>
    </w:p>
    <w:p>
      <w:r>
        <w:br w:type="page"/>
      </w:r>
    </w:p>
    <w:p>
      <w:pPr>
        <w:pStyle w:val="Heading1"/>
        <w:spacing w:after="200" w:before="360"/>
      </w:pPr>
      <w:r>
        <w:rPr>
          <w:rFonts w:ascii="Calibri" w:cs="Calibri" w:eastAsia="Calibri" w:hAnsi="Calibri"/>
          <w:b/>
          <w:bCs/>
          <w:color w:val="2E3D96"/>
          <w:sz w:val="30"/>
          <w:szCs w:val="30"/>
        </w:rPr>
        <w:t xml:space="preserve">Pourquoi « Kamissa »</w:t>
      </w:r>
    </w:p>
    <w:p>
      <w:pPr>
        <w:spacing w:after="160" w:line="276"/>
        <w:jc w:val="both"/>
      </w:pPr>
      <w:r>
        <w:rPr>
          <w:rFonts w:ascii="Calibri" w:cs="Calibri" w:eastAsia="Calibri" w:hAnsi="Calibri"/>
          <w:color w:val="262626"/>
          <w:sz w:val="22"/>
          <w:szCs w:val="22"/>
        </w:rPr>
        <w:t xml:space="preserve">Dans le nord de la Côte d'Ivoire, les jeunes filles sont les premières exclues de l'école — et pourtant, chaque fille qui apprend à lire transforme une famille, puis un village, puis un pays. C'est pour elles, d'abord, que ce projet existe.</w:t>
      </w:r>
    </w:p>
    <w:p>
      <w:pPr>
        <w:spacing w:after="160" w:line="276"/>
        <w:jc w:val="both"/>
      </w:pPr>
      <w:r>
        <w:rPr>
          <w:rFonts w:ascii="Calibri" w:cs="Calibri" w:eastAsia="Calibri" w:hAnsi="Calibri"/>
          <w:color w:val="262626"/>
          <w:sz w:val="22"/>
          <w:szCs w:val="22"/>
        </w:rPr>
        <w:t xml:space="preserve">Kamissa, c'est le prénom de ma mère. Née d'une lignée qui trace ses origines à Sikasso, au Mali, elle a connu la magie de l'éducation : celle qui fait d'une enfant de milieu modeste une libraire, une passionnée de lecture, une femme convaincue toute sa vie qu'il fallait une éducation massive, pour tous. Elle a passé son existence entourée de livres — à en vendre, à en offrir, à en défendre l'accès.</w:t>
      </w:r>
    </w:p>
    <w:p>
      <w:pPr>
        <w:spacing w:after="160" w:line="276"/>
        <w:jc w:val="both"/>
      </w:pPr>
      <w:r>
        <w:rPr>
          <w:rFonts w:ascii="Calibri" w:cs="Calibri" w:eastAsia="Calibri" w:hAnsi="Calibri"/>
          <w:color w:val="262626"/>
          <w:sz w:val="22"/>
          <w:szCs w:val="22"/>
        </w:rPr>
        <w:t xml:space="preserve">Elle n'est plus là. Mais sa conviction, elle, continue. Donner son prénom à cette application, c'est faire en sorte que chaque enfant qui apprendra à lire grâce à elle — chaque fille de Korhogo, chaque garçon d'Abobo, chaque enfant des campements et des quartiers — porte un peu de son héritage.</w:t>
      </w:r>
    </w:p>
    <w:p>
      <w:pPr>
        <w:pBdr>
          <w:top w:val="single" w:color="E8482B" w:sz="6" w:space="12"/>
          <w:bottom w:val="single" w:color="E8482B" w:sz="6" w:space="12"/>
        </w:pBdr>
        <w:spacing w:after="300" w:before="300"/>
        <w:jc w:val="center"/>
      </w:pPr>
      <w:r>
        <w:rPr>
          <w:rFonts w:ascii="Calibri" w:cs="Calibri" w:eastAsia="Calibri" w:hAnsi="Calibri"/>
          <w:i/>
          <w:iCs/>
          <w:color w:val="2E3D96"/>
          <w:sz w:val="26"/>
          <w:szCs w:val="26"/>
        </w:rPr>
        <w:t xml:space="preserve">« Kamissa, pour tous les garçons et toutes les filles des milieux défavorisés. »</w:t>
      </w:r>
    </w:p>
    <w:p>
      <w:pPr>
        <w:spacing w:after="60" w:before="200"/>
        <w:jc w:val="right"/>
      </w:pPr>
      <w:r>
        <w:rPr>
          <w:rFonts w:ascii="Calibri" w:cs="Calibri" w:eastAsia="Calibri" w:hAnsi="Calibri"/>
          <w:b/>
          <w:bCs/>
          <w:color w:val="241E16"/>
          <w:sz w:val="22"/>
          <w:szCs w:val="22"/>
        </w:rPr>
        <w:t xml:space="preserve">Fernando Kouamé</w:t>
      </w:r>
    </w:p>
    <w:p>
      <w:pPr>
        <w:jc w:val="right"/>
      </w:pPr>
      <w:r>
        <w:rPr>
          <w:rFonts w:ascii="Calibri" w:cs="Calibri" w:eastAsia="Calibri" w:hAnsi="Calibri"/>
          <w:i/>
          <w:iCs/>
          <w:color w:val="6B6053"/>
          <w:sz w:val="20"/>
          <w:szCs w:val="20"/>
        </w:rPr>
        <w:t xml:space="preserve">Promoteur — en hommage à ma mère, Kamissa</w:t>
      </w:r>
    </w:p>
    <w:p>
      <w:r>
        <w:br w:type="page"/>
      </w:r>
    </w:p>
    <w:p>
      <w:pPr>
        <w:pStyle w:val="Heading1"/>
        <w:spacing w:after="200" w:before="360"/>
      </w:pPr>
      <w:r>
        <w:rPr>
          <w:rFonts w:ascii="Calibri" w:cs="Calibri" w:eastAsia="Calibri" w:hAnsi="Calibri"/>
          <w:b/>
          <w:bCs/>
          <w:color w:val="2E3D96"/>
          <w:sz w:val="30"/>
          <w:szCs w:val="30"/>
        </w:rPr>
        <w:t xml:space="preserve">Résumé exécutif</w:t>
      </w:r>
    </w:p>
    <w:p>
      <w:pPr>
        <w:spacing w:after="160" w:line="276"/>
        <w:jc w:val="both"/>
      </w:pPr>
      <w:r>
        <w:rPr>
          <w:rFonts w:ascii="Calibri" w:cs="Calibri" w:eastAsia="Calibri" w:hAnsi="Calibri"/>
          <w:color w:val="262626"/>
          <w:sz w:val="22"/>
          <w:szCs w:val="22"/>
        </w:rPr>
        <w:t xml:space="preserve">Awa a neuf ans. Elle vit à Abobo, aide sa mère au marché et n'a jamais franchi la porte d'une école — trop loin, trop chère, trop pleine. Dans la poche de sa grande sœur, pourtant, il y a un téléphone. </w:t>
      </w:r>
      <w:r>
        <w:rPr>
          <w:rFonts w:ascii="Calibri" w:cs="Calibri" w:eastAsia="Calibri" w:hAnsi="Calibri"/>
          <w:b/>
          <w:bCs/>
          <w:color w:val="262626"/>
          <w:sz w:val="22"/>
          <w:szCs w:val="22"/>
        </w:rPr>
        <w:t xml:space="preserve">KAMISSA transforme ce téléphone en première salle de classe : </w:t>
      </w:r>
      <w:r>
        <w:rPr>
          <w:rFonts w:ascii="Calibri" w:cs="Calibri" w:eastAsia="Calibri" w:hAnsi="Calibri"/>
          <w:color w:val="262626"/>
          <w:sz w:val="22"/>
          <w:szCs w:val="22"/>
        </w:rPr>
        <w:t xml:space="preserve">une application qui apprend à lire, écrire et compter à un enfant de 6 à 14 ans, à voix haute, pas à pas, sans connexion permanente — et sans que personne autour de lui n'ait besoin de savoir lire.</w:t>
      </w:r>
    </w:p>
    <w:p>
      <w:pPr>
        <w:spacing w:after="160" w:line="276"/>
        <w:jc w:val="both"/>
      </w:pPr>
      <w:r>
        <w:rPr>
          <w:rFonts w:ascii="Calibri" w:cs="Calibri" w:eastAsia="Calibri" w:hAnsi="Calibri"/>
          <w:color w:val="262626"/>
          <w:sz w:val="22"/>
          <w:szCs w:val="22"/>
        </w:rPr>
        <w:t xml:space="preserve">Derrière Awa, ils sont des millions. Le Rapport mondial de suivi sur l'éducation 2026 de l'UNESCO compte 273 millions d'enfants et de jeunes hors de l'école — un chiffre qui augmente pour la septième année de suite, poussé par la démographie de l'Afrique subsaharienne. En Côte d'Ivoire, malgré des progrès réels (les taux de non-scolarisation ont été divisés par deux depuis 2000), environ un enfant sur huit en âge du primaire reste dehors. On peut attendre que les écoles soient construites. Les enfants, eux, ne peuvent pas.</w:t>
      </w:r>
    </w:p>
    <w:p>
      <w:pPr>
        <w:spacing w:after="160" w:line="276"/>
        <w:jc w:val="both"/>
      </w:pPr>
      <w:r>
        <w:rPr>
          <w:rFonts w:ascii="Calibri" w:cs="Calibri" w:eastAsia="Calibri" w:hAnsi="Calibri"/>
          <w:color w:val="262626"/>
          <w:sz w:val="22"/>
          <w:szCs w:val="22"/>
        </w:rPr>
        <w:t xml:space="preserve">Ce pari a déjà été gagné ailleurs : le Global Learning XPRIZE a prouvé en 2019 que des enfants jamais scolarisés apprennent à lire et à compter avec un logiciel bien conçu, sans enseignant. Nous adaptons cette preuve au terrain ouest-africain : tout est dit à voix haute, tout fonctionne hors ligne, plusieurs enfants partagent le même appareil — et surtout, personne n'apprend seul. Les enfants se retrouvent en </w:t>
      </w:r>
      <w:r>
        <w:rPr>
          <w:rFonts w:ascii="Calibri" w:cs="Calibri" w:eastAsia="Calibri" w:hAnsi="Calibri"/>
          <w:b/>
          <w:bCs/>
          <w:color w:val="262626"/>
          <w:sz w:val="22"/>
          <w:szCs w:val="22"/>
        </w:rPr>
        <w:t xml:space="preserve">cercles d'apprentissage</w:t>
      </w:r>
      <w:r>
        <w:rPr>
          <w:rFonts w:ascii="Calibri" w:cs="Calibri" w:eastAsia="Calibri" w:hAnsi="Calibri"/>
          <w:color w:val="262626"/>
          <w:sz w:val="22"/>
          <w:szCs w:val="22"/>
        </w:rPr>
        <w:t xml:space="preserve">, cinq à dix autour d'un téléphone, guidés par un « champion » : un jeune du quartier qui les connaît par leur prénom.</w:t>
      </w:r>
    </w:p>
    <w:p>
      <w:pPr>
        <w:spacing w:after="160" w:line="276"/>
        <w:jc w:val="both"/>
      </w:pPr>
      <w:r>
        <w:rPr>
          <w:rFonts w:ascii="Calibri" w:cs="Calibri" w:eastAsia="Calibri" w:hAnsi="Calibri"/>
          <w:color w:val="262626"/>
          <w:sz w:val="22"/>
          <w:szCs w:val="22"/>
        </w:rPr>
        <w:t xml:space="preserve">Le financement suit la même logique de confiance : le </w:t>
      </w:r>
      <w:r>
        <w:rPr>
          <w:rFonts w:ascii="Calibri" w:cs="Calibri" w:eastAsia="Calibri" w:hAnsi="Calibri"/>
          <w:b/>
          <w:bCs/>
          <w:color w:val="262626"/>
          <w:sz w:val="22"/>
          <w:szCs w:val="22"/>
        </w:rPr>
        <w:t xml:space="preserve">parrainage transparent</w:t>
      </w:r>
      <w:r>
        <w:rPr>
          <w:rFonts w:ascii="Calibri" w:cs="Calibri" w:eastAsia="Calibri" w:hAnsi="Calibri"/>
          <w:color w:val="262626"/>
          <w:sz w:val="22"/>
          <w:szCs w:val="22"/>
        </w:rPr>
        <w:t xml:space="preserve">. Celui qui donne — une fondation, une entreprise, une tante de la diaspora — sait pour qui il donne, et voit ce que son geste produit : les leçons terminées, le premier mot lu, les résultats aux évaluations indépendantes (EGRA/ASER). Pas de promesses : des preuves.</w:t>
      </w:r>
    </w:p>
    <w:p>
      <w:pPr>
        <w:spacing w:after="160" w:line="276"/>
        <w:jc w:val="both"/>
      </w:pPr>
      <w:r>
        <w:rPr>
          <w:rFonts w:ascii="Calibri" w:cs="Calibri" w:eastAsia="Calibri" w:hAnsi="Calibri"/>
          <w:b/>
          <w:bCs/>
          <w:color w:val="262626"/>
          <w:sz w:val="22"/>
          <w:szCs w:val="22"/>
        </w:rPr>
        <w:t xml:space="preserve">Le projet pilote proposé : </w:t>
      </w:r>
      <w:r>
        <w:rPr>
          <w:rFonts w:ascii="Calibri" w:cs="Calibri" w:eastAsia="Calibri" w:hAnsi="Calibri"/>
          <w:color w:val="262626"/>
          <w:sz w:val="22"/>
          <w:szCs w:val="22"/>
        </w:rPr>
        <w:t xml:space="preserve">12 mois, 500 enfants, 50 cercles d'apprentissage répartis entre 2-3 communes d'Abidjan et une zone rurale, avec évaluation externe avant/après. Budget total : 173 millions FCFA (≈ 264 000 €), soit un coût complet de 346 000 FCFA par enfant, ramené à environ 206 000 FCFA hors investissement produit — un coût marginal appelé à chuter fortement à l'échelle.</w:t>
      </w:r>
    </w:p>
    <w:p>
      <w:r>
        <w:br w:type="page"/>
      </w:r>
    </w:p>
    <w:p>
      <w:pPr>
        <w:pStyle w:val="Heading1"/>
        <w:spacing w:after="200" w:before="360"/>
      </w:pPr>
      <w:r>
        <w:rPr>
          <w:rFonts w:ascii="Calibri" w:cs="Calibri" w:eastAsia="Calibri" w:hAnsi="Calibri"/>
          <w:b/>
          <w:bCs/>
          <w:color w:val="2E3D96"/>
          <w:sz w:val="30"/>
          <w:szCs w:val="30"/>
        </w:rPr>
        <w:t xml:space="preserve">1. Contexte et problème</w:t>
      </w:r>
    </w:p>
    <w:p>
      <w:pPr>
        <w:pStyle w:val="Heading2"/>
        <w:spacing w:after="140" w:before="240"/>
      </w:pPr>
      <w:r>
        <w:rPr>
          <w:rFonts w:ascii="Calibri" w:cs="Calibri" w:eastAsia="Calibri" w:hAnsi="Calibri"/>
          <w:b/>
          <w:bCs/>
          <w:color w:val="E8482B"/>
          <w:sz w:val="25"/>
          <w:szCs w:val="25"/>
        </w:rPr>
        <w:t xml:space="preserve">1.1 L'ampleur du défi</w:t>
      </w:r>
    </w:p>
    <w:p>
      <w:pPr>
        <w:spacing w:after="160" w:line="276"/>
        <w:jc w:val="both"/>
      </w:pPr>
      <w:r>
        <w:rPr>
          <w:rFonts w:ascii="Calibri" w:cs="Calibri" w:eastAsia="Calibri" w:hAnsi="Calibri"/>
          <w:color w:val="262626"/>
          <w:sz w:val="22"/>
          <w:szCs w:val="22"/>
        </w:rPr>
        <w:t xml:space="preserve">En Afrique subsaharienne, près d'un enfant sur cinq en âge du primaire ne va pas à l'école — la proportion la plus élevée au monde. Chaque année, des classes se construisent et des maîtres se forment ; et chaque année, la démographie va plus vite. Les crises du Sahel aggravent tout : des milliers d'écoles fermées au Burkina Faso, au Mali et au Niger, des familles entières déplacées vers les pays côtiers, des enfants qui arrivent sans papiers scolaires et sans repères.</w:t>
      </w:r>
    </w:p>
    <w:p>
      <w:pPr>
        <w:spacing w:after="160" w:line="276"/>
        <w:jc w:val="both"/>
      </w:pPr>
      <w:r>
        <w:rPr>
          <w:rFonts w:ascii="Calibri" w:cs="Calibri" w:eastAsia="Calibri" w:hAnsi="Calibri"/>
          <w:color w:val="262626"/>
          <w:sz w:val="22"/>
          <w:szCs w:val="22"/>
        </w:rPr>
        <w:t xml:space="preserve">La Côte d'Ivoire, elle, avance : les taux de non-scolarisation ont été divisés par deux depuis 2000, et l'école est obligatoire de 6 à 16 ans depuis 2015. Mais environ 13 % des enfants en âge du primaire restent hors de l'école. On les croise tous les jours : la petite fille placée comme aide domestique, le garçon des campements de plantation, les enfants des familles déplacées, ceux des quartiers précaires d'Abidjan. Pour la plupart, la fenêtre où le cerveau apprend le mieux à lire — entre 6 et 10 ans — se referme sans qu'aucune offre ne les atteigne.</w:t>
      </w:r>
    </w:p>
    <w:p>
      <w:pPr>
        <w:pStyle w:val="Heading2"/>
        <w:spacing w:after="140" w:before="240"/>
      </w:pPr>
      <w:r>
        <w:rPr>
          <w:rFonts w:ascii="Calibri" w:cs="Calibri" w:eastAsia="Calibri" w:hAnsi="Calibri"/>
          <w:b/>
          <w:bCs/>
          <w:color w:val="E8482B"/>
          <w:sz w:val="25"/>
          <w:szCs w:val="25"/>
        </w:rPr>
        <w:t xml:space="preserve">1.2 Pourquoi l'offre actuelle ne suffit pas</w:t>
      </w:r>
    </w:p>
    <w:p>
      <w:pPr>
        <w:pStyle w:val="ListParagraph"/>
        <w:numPr>
          <w:ilvl w:val="0"/>
          <w:numId w:val="2"/>
        </w:numPr>
        <w:spacing w:after="100" w:line="276"/>
        <w:jc w:val="both"/>
      </w:pPr>
      <w:r>
        <w:rPr>
          <w:rFonts w:ascii="Calibri" w:cs="Calibri" w:eastAsia="Calibri" w:hAnsi="Calibri"/>
          <w:b/>
          <w:bCs/>
          <w:color w:val="262626"/>
          <w:sz w:val="22"/>
          <w:szCs w:val="22"/>
        </w:rPr>
        <w:t xml:space="preserve">Les classes passerelles </w:t>
      </w:r>
      <w:r>
        <w:rPr>
          <w:rFonts w:ascii="Calibri" w:cs="Calibri" w:eastAsia="Calibri" w:hAnsi="Calibri"/>
          <w:color w:val="262626"/>
          <w:sz w:val="22"/>
          <w:szCs w:val="22"/>
        </w:rPr>
        <w:t xml:space="preserve">(éducation accélérée portée par des ONG) sont efficaces mais coûteuses en encadrement humain et limitées géographiquement.</w:t>
      </w:r>
    </w:p>
    <w:p>
      <w:pPr>
        <w:pStyle w:val="ListParagraph"/>
        <w:numPr>
          <w:ilvl w:val="0"/>
          <w:numId w:val="2"/>
        </w:numPr>
        <w:spacing w:after="100" w:line="276"/>
        <w:jc w:val="both"/>
      </w:pPr>
      <w:r>
        <w:rPr>
          <w:rFonts w:ascii="Calibri" w:cs="Calibri" w:eastAsia="Calibri" w:hAnsi="Calibri"/>
          <w:b/>
          <w:bCs/>
          <w:color w:val="262626"/>
          <w:sz w:val="22"/>
          <w:szCs w:val="22"/>
        </w:rPr>
        <w:t xml:space="preserve">Les applications éducatives existantes </w:t>
      </w:r>
      <w:r>
        <w:rPr>
          <w:rFonts w:ascii="Calibri" w:cs="Calibri" w:eastAsia="Calibri" w:hAnsi="Calibri"/>
          <w:color w:val="262626"/>
          <w:sz w:val="22"/>
          <w:szCs w:val="22"/>
        </w:rPr>
        <w:t xml:space="preserve">supposent presque toutes un enfant déjà lecteur, une connexion stable et un téléphone personnel — trois hypothèses fausses pour la cible.</w:t>
      </w:r>
    </w:p>
    <w:p>
      <w:pPr>
        <w:pStyle w:val="ListParagraph"/>
        <w:numPr>
          <w:ilvl w:val="0"/>
          <w:numId w:val="2"/>
        </w:numPr>
        <w:spacing w:after="100" w:line="276"/>
        <w:jc w:val="both"/>
      </w:pPr>
      <w:r>
        <w:rPr>
          <w:rFonts w:ascii="Calibri" w:cs="Calibri" w:eastAsia="Calibri" w:hAnsi="Calibri"/>
          <w:b/>
          <w:bCs/>
          <w:color w:val="262626"/>
          <w:sz w:val="22"/>
          <w:szCs w:val="22"/>
        </w:rPr>
        <w:t xml:space="preserve">Les programmes d'alphabétisation des adultes </w:t>
      </w:r>
      <w:r>
        <w:rPr>
          <w:rFonts w:ascii="Calibri" w:cs="Calibri" w:eastAsia="Calibri" w:hAnsi="Calibri"/>
          <w:color w:val="262626"/>
          <w:sz w:val="22"/>
          <w:szCs w:val="22"/>
        </w:rPr>
        <w:t xml:space="preserve">ne sont ni conçus ni calibrés pour des enfants.</w:t>
      </w:r>
    </w:p>
    <w:p>
      <w:pPr>
        <w:spacing w:after="160" w:line="276"/>
        <w:jc w:val="both"/>
      </w:pPr>
      <w:r>
        <w:rPr>
          <w:rFonts w:ascii="Calibri" w:cs="Calibri" w:eastAsia="Calibri" w:hAnsi="Calibri"/>
          <w:color w:val="262626"/>
          <w:sz w:val="22"/>
          <w:szCs w:val="22"/>
        </w:rPr>
        <w:t xml:space="preserve">Il existe donc un vide : aucune solution à coût marginal faible ne permet aujourd'hui à un enfant ouest-africain non lecteur, sans école accessible, d'apprendre les fondamentaux. C'est précisément ce vide que KAMISSA vient combler.</w:t>
      </w:r>
    </w:p>
    <w:p>
      <w:pPr>
        <w:pStyle w:val="Heading2"/>
        <w:spacing w:after="140" w:before="240"/>
      </w:pPr>
      <w:r>
        <w:rPr>
          <w:rFonts w:ascii="Calibri" w:cs="Calibri" w:eastAsia="Calibri" w:hAnsi="Calibri"/>
          <w:b/>
          <w:bCs/>
          <w:color w:val="E8482B"/>
          <w:sz w:val="25"/>
          <w:szCs w:val="25"/>
        </w:rPr>
        <w:t xml:space="preserve">1.3 Ce qui rend le moment favorable</w:t>
      </w:r>
    </w:p>
    <w:p>
      <w:pPr>
        <w:pStyle w:val="ListParagraph"/>
        <w:numPr>
          <w:ilvl w:val="0"/>
          <w:numId w:val="2"/>
        </w:numPr>
        <w:spacing w:after="100" w:line="276"/>
        <w:jc w:val="both"/>
      </w:pPr>
      <w:r>
        <w:rPr>
          <w:rFonts w:ascii="Calibri" w:cs="Calibri" w:eastAsia="Calibri" w:hAnsi="Calibri"/>
          <w:color w:val="262626"/>
          <w:sz w:val="22"/>
          <w:szCs w:val="22"/>
        </w:rPr>
        <w:t xml:space="preserve">Pénétration des smartphones Android d'entrée de gamme (30 000 à 50 000 FCFA) jusque dans les ménages modestes : le terminal existe déjà dans la famille, même s'il est partagé.</w:t>
      </w:r>
    </w:p>
    <w:p>
      <w:pPr>
        <w:pStyle w:val="ListParagraph"/>
        <w:numPr>
          <w:ilvl w:val="0"/>
          <w:numId w:val="2"/>
        </w:numPr>
        <w:spacing w:after="100" w:line="276"/>
        <w:jc w:val="both"/>
      </w:pPr>
      <w:r>
        <w:rPr>
          <w:rFonts w:ascii="Calibri" w:cs="Calibri" w:eastAsia="Calibri" w:hAnsi="Calibri"/>
          <w:color w:val="262626"/>
          <w:sz w:val="22"/>
          <w:szCs w:val="22"/>
        </w:rPr>
        <w:t xml:space="preserve">Précédent scientifique établi : le Global Learning XPRIZE a validé l'apprentissage autonome sur écran pour des enfants non scolarisés en Afrique de l'Est.</w:t>
      </w:r>
    </w:p>
    <w:p>
      <w:pPr>
        <w:pStyle w:val="ListParagraph"/>
        <w:numPr>
          <w:ilvl w:val="0"/>
          <w:numId w:val="2"/>
        </w:numPr>
        <w:spacing w:after="100" w:line="276"/>
        <w:jc w:val="both"/>
      </w:pPr>
      <w:r>
        <w:rPr>
          <w:rFonts w:ascii="Calibri" w:cs="Calibri" w:eastAsia="Calibri" w:hAnsi="Calibri"/>
          <w:color w:val="262626"/>
          <w:sz w:val="22"/>
          <w:szCs w:val="22"/>
        </w:rPr>
        <w:t xml:space="preserve">Priorité politique et philanthropique croissante sur les « out-of-school children », avec des bailleurs spécialisés (Educate A Child, Luminos Fund, Education Cannot Wait).</w:t>
      </w:r>
    </w:p>
    <w:p>
      <w:pPr>
        <w:pStyle w:val="ListParagraph"/>
        <w:numPr>
          <w:ilvl w:val="0"/>
          <w:numId w:val="2"/>
        </w:numPr>
        <w:spacing w:after="100" w:line="276"/>
        <w:jc w:val="both"/>
      </w:pPr>
      <w:r>
        <w:rPr>
          <w:rFonts w:ascii="Calibri" w:cs="Calibri" w:eastAsia="Calibri" w:hAnsi="Calibri"/>
          <w:color w:val="262626"/>
          <w:sz w:val="22"/>
          <w:szCs w:val="22"/>
        </w:rPr>
        <w:t xml:space="preserve">Écosystème ivoirien porteur : couverture 4G des zones urbaines et semi-urbaines, mobile money pour les micro-paiements des champions, fondations d'entreprise actives dans l'éducation.</w:t>
      </w:r>
    </w:p>
    <w:p>
      <w:r>
        <w:br w:type="page"/>
      </w:r>
    </w:p>
    <w:p>
      <w:pPr>
        <w:pStyle w:val="Heading1"/>
        <w:spacing w:after="200" w:before="360"/>
      </w:pPr>
      <w:r>
        <w:rPr>
          <w:rFonts w:ascii="Calibri" w:cs="Calibri" w:eastAsia="Calibri" w:hAnsi="Calibri"/>
          <w:b/>
          <w:bCs/>
          <w:color w:val="2E3D96"/>
          <w:sz w:val="30"/>
          <w:szCs w:val="30"/>
        </w:rPr>
        <w:t xml:space="preserve">2. La solution KAMISSA</w:t>
      </w:r>
    </w:p>
    <w:p>
      <w:pPr>
        <w:pStyle w:val="Heading2"/>
        <w:spacing w:after="140" w:before="240"/>
      </w:pPr>
      <w:r>
        <w:rPr>
          <w:rFonts w:ascii="Calibri" w:cs="Calibri" w:eastAsia="Calibri" w:hAnsi="Calibri"/>
          <w:b/>
          <w:bCs/>
          <w:color w:val="E8482B"/>
          <w:sz w:val="25"/>
          <w:szCs w:val="25"/>
        </w:rPr>
        <w:t xml:space="preserve">2.1 Le produit</w:t>
      </w:r>
    </w:p>
    <w:p>
      <w:pPr>
        <w:spacing w:after="160" w:line="276"/>
        <w:jc w:val="both"/>
      </w:pPr>
      <w:r>
        <w:rPr>
          <w:rFonts w:ascii="Calibri" w:cs="Calibri" w:eastAsia="Calibri" w:hAnsi="Calibri"/>
          <w:color w:val="262626"/>
          <w:sz w:val="22"/>
          <w:szCs w:val="22"/>
        </w:rPr>
        <w:t xml:space="preserve">KAMISSA est une </w:t>
      </w:r>
      <w:r>
        <w:rPr>
          <w:rFonts w:ascii="Calibri" w:cs="Calibri" w:eastAsia="Calibri" w:hAnsi="Calibri"/>
          <w:b/>
          <w:bCs/>
          <w:color w:val="262626"/>
          <w:sz w:val="22"/>
          <w:szCs w:val="22"/>
        </w:rPr>
        <w:t xml:space="preserve">application web progressive (PWA) offline-first</w:t>
      </w:r>
      <w:r>
        <w:rPr>
          <w:rFonts w:ascii="Calibri" w:cs="Calibri" w:eastAsia="Calibri" w:hAnsi="Calibri"/>
          <w:color w:val="262626"/>
          <w:sz w:val="22"/>
          <w:szCs w:val="22"/>
        </w:rPr>
        <w:t xml:space="preserve"> : installée une fois via une connexion ponctuelle (point wifi, champion, cybercafé), elle fonctionne ensuite entièrement hors ligne et synchronise les progrès dès qu'un réseau est disponible. Elle est optimisée pour des appareils à 1-2 Go de RAM et des écrans de petite taille.</w:t>
      </w:r>
    </w:p>
    <w:p>
      <w:pPr>
        <w:pStyle w:val="ListParagraph"/>
        <w:numPr>
          <w:ilvl w:val="0"/>
          <w:numId w:val="2"/>
        </w:numPr>
        <w:spacing w:after="100" w:line="276"/>
        <w:jc w:val="both"/>
      </w:pPr>
      <w:r>
        <w:rPr>
          <w:rFonts w:ascii="Calibri" w:cs="Calibri" w:eastAsia="Calibri" w:hAnsi="Calibri"/>
          <w:b/>
          <w:bCs/>
          <w:color w:val="262626"/>
          <w:sz w:val="22"/>
          <w:szCs w:val="22"/>
        </w:rPr>
        <w:t xml:space="preserve">Parcours en trois niveaux : </w:t>
      </w:r>
      <w:r>
        <w:rPr>
          <w:rFonts w:ascii="Calibri" w:cs="Calibri" w:eastAsia="Calibri" w:hAnsi="Calibri"/>
          <w:color w:val="262626"/>
          <w:sz w:val="22"/>
          <w:szCs w:val="22"/>
        </w:rPr>
        <w:t xml:space="preserve">Niveau 1 — conscience phonologique et déchiffrage (interface 100 % audio et icônes, aucun texte requis) ; Niveau 2 — lecture courante et compréhension ; Niveau 3 — écriture, copie guidée et calcul de base (numération, quatre opérations, monnaie du quotidien).</w:t>
      </w:r>
    </w:p>
    <w:p>
      <w:pPr>
        <w:pStyle w:val="ListParagraph"/>
        <w:numPr>
          <w:ilvl w:val="0"/>
          <w:numId w:val="2"/>
        </w:numPr>
        <w:spacing w:after="100" w:line="276"/>
        <w:jc w:val="both"/>
      </w:pPr>
      <w:r>
        <w:rPr>
          <w:rFonts w:ascii="Calibri" w:cs="Calibri" w:eastAsia="Calibri" w:hAnsi="Calibri"/>
          <w:b/>
          <w:bCs/>
          <w:color w:val="262626"/>
          <w:sz w:val="22"/>
          <w:szCs w:val="22"/>
        </w:rPr>
        <w:t xml:space="preserve">Micro-leçons de 15 à 20 minutes, </w:t>
      </w:r>
      <w:r>
        <w:rPr>
          <w:rFonts w:ascii="Calibri" w:cs="Calibri" w:eastAsia="Calibri" w:hAnsi="Calibri"/>
          <w:color w:val="262626"/>
          <w:sz w:val="22"/>
          <w:szCs w:val="22"/>
        </w:rPr>
        <w:t xml:space="preserve">audio-guidées par une voix chaleureuse en français simple, avec adaptation prévue aux langues nationales (dioula, baoulé, bété) pour les consignes.</w:t>
      </w:r>
    </w:p>
    <w:p>
      <w:pPr>
        <w:pStyle w:val="ListParagraph"/>
        <w:numPr>
          <w:ilvl w:val="0"/>
          <w:numId w:val="2"/>
        </w:numPr>
        <w:spacing w:after="100" w:line="276"/>
        <w:jc w:val="both"/>
      </w:pPr>
      <w:r>
        <w:rPr>
          <w:rFonts w:ascii="Calibri" w:cs="Calibri" w:eastAsia="Calibri" w:hAnsi="Calibri"/>
          <w:b/>
          <w:bCs/>
          <w:color w:val="262626"/>
          <w:sz w:val="22"/>
          <w:szCs w:val="22"/>
        </w:rPr>
        <w:t xml:space="preserve">Mode téléphone partagé : </w:t>
      </w:r>
      <w:r>
        <w:rPr>
          <w:rFonts w:ascii="Calibri" w:cs="Calibri" w:eastAsia="Calibri" w:hAnsi="Calibri"/>
          <w:color w:val="262626"/>
          <w:sz w:val="22"/>
          <w:szCs w:val="22"/>
        </w:rPr>
        <w:t xml:space="preserve">plusieurs profils enfants sur un même appareil (celui d'un parent, d'un grand frère ou du champion), chaque enfant retrouvant sa progression par un avatar et un code visuel simple.</w:t>
      </w:r>
    </w:p>
    <w:p>
      <w:pPr>
        <w:pStyle w:val="ListParagraph"/>
        <w:numPr>
          <w:ilvl w:val="0"/>
          <w:numId w:val="2"/>
        </w:numPr>
        <w:spacing w:after="100" w:line="276"/>
        <w:jc w:val="both"/>
      </w:pPr>
      <w:r>
        <w:rPr>
          <w:rFonts w:ascii="Calibri" w:cs="Calibri" w:eastAsia="Calibri" w:hAnsi="Calibri"/>
          <w:b/>
          <w:bCs/>
          <w:color w:val="262626"/>
          <w:sz w:val="22"/>
          <w:szCs w:val="22"/>
        </w:rPr>
        <w:t xml:space="preserve">Pédagogie de la maîtrise : </w:t>
      </w:r>
      <w:r>
        <w:rPr>
          <w:rFonts w:ascii="Calibri" w:cs="Calibri" w:eastAsia="Calibri" w:hAnsi="Calibri"/>
          <w:color w:val="262626"/>
          <w:sz w:val="22"/>
          <w:szCs w:val="22"/>
        </w:rPr>
        <w:t xml:space="preserve">l'enfant ne passe à la compétence suivante que lorsque la précédente est acquise (seuil de 80 % de réussite), avec révision espacée automatique des acquis antérieurs.</w:t>
      </w:r>
    </w:p>
    <w:p>
      <w:pPr>
        <w:pStyle w:val="Heading2"/>
        <w:spacing w:after="140" w:before="240"/>
      </w:pPr>
      <w:r>
        <w:rPr>
          <w:rFonts w:ascii="Calibri" w:cs="Calibri" w:eastAsia="Calibri" w:hAnsi="Calibri"/>
          <w:b/>
          <w:bCs/>
          <w:color w:val="E8482B"/>
          <w:sz w:val="25"/>
          <w:szCs w:val="25"/>
        </w:rPr>
        <w:t xml:space="preserve">2.2 La gamification au service de la maîtrise</w:t>
      </w:r>
    </w:p>
    <w:p>
      <w:pPr>
        <w:spacing w:after="160" w:line="276"/>
        <w:jc w:val="both"/>
      </w:pPr>
      <w:r>
        <w:rPr>
          <w:rFonts w:ascii="Calibri" w:cs="Calibri" w:eastAsia="Calibri" w:hAnsi="Calibri"/>
          <w:color w:val="262626"/>
          <w:sz w:val="22"/>
          <w:szCs w:val="22"/>
        </w:rPr>
        <w:t xml:space="preserve">La gamification de KAMISSA récompense l'apprentissage réel, jamais le simple temps passé à l'écran. Elle est conçue pour être lisible par un enfant non lecteur :</w:t>
      </w:r>
    </w:p>
    <w:p>
      <w:pPr>
        <w:pStyle w:val="ListParagraph"/>
        <w:numPr>
          <w:ilvl w:val="0"/>
          <w:numId w:val="2"/>
        </w:numPr>
        <w:spacing w:after="100" w:line="276"/>
        <w:jc w:val="both"/>
      </w:pPr>
      <w:r>
        <w:rPr>
          <w:rFonts w:ascii="Calibri" w:cs="Calibri" w:eastAsia="Calibri" w:hAnsi="Calibri"/>
          <w:b/>
          <w:bCs/>
          <w:color w:val="262626"/>
          <w:sz w:val="22"/>
          <w:szCs w:val="22"/>
        </w:rPr>
        <w:t xml:space="preserve">Un compagnon qui grandit : </w:t>
      </w:r>
      <w:r>
        <w:rPr>
          <w:rFonts w:ascii="Calibri" w:cs="Calibri" w:eastAsia="Calibri" w:hAnsi="Calibri"/>
          <w:color w:val="262626"/>
          <w:sz w:val="22"/>
          <w:szCs w:val="22"/>
        </w:rPr>
        <w:t xml:space="preserve">chaque enfant fait grandir un personnage (ou un arbre) qui se développe visiblement à chaque compétence validée — une métaphore de progression compréhensible sans texte ni chiffres.</w:t>
      </w:r>
    </w:p>
    <w:p>
      <w:pPr>
        <w:pStyle w:val="ListParagraph"/>
        <w:numPr>
          <w:ilvl w:val="0"/>
          <w:numId w:val="2"/>
        </w:numPr>
        <w:spacing w:after="100" w:line="276"/>
        <w:jc w:val="both"/>
      </w:pPr>
      <w:r>
        <w:rPr>
          <w:rFonts w:ascii="Calibri" w:cs="Calibri" w:eastAsia="Calibri" w:hAnsi="Calibri"/>
          <w:b/>
          <w:bCs/>
          <w:color w:val="262626"/>
          <w:sz w:val="22"/>
          <w:szCs w:val="22"/>
        </w:rPr>
        <w:t xml:space="preserve">Badges de compétences </w:t>
      </w:r>
      <w:r>
        <w:rPr>
          <w:rFonts w:ascii="Calibri" w:cs="Calibri" w:eastAsia="Calibri" w:hAnsi="Calibri"/>
          <w:color w:val="262626"/>
          <w:sz w:val="22"/>
          <w:szCs w:val="22"/>
        </w:rPr>
        <w:t xml:space="preserve">adossés au référentiel : « je connais mes sons », « je lis mes premiers mots », « je lis une histoire », « je compte jusqu'à 100 », etc.</w:t>
      </w:r>
    </w:p>
    <w:p>
      <w:pPr>
        <w:pStyle w:val="ListParagraph"/>
        <w:numPr>
          <w:ilvl w:val="0"/>
          <w:numId w:val="2"/>
        </w:numPr>
        <w:spacing w:after="100" w:line="276"/>
        <w:jc w:val="both"/>
      </w:pPr>
      <w:r>
        <w:rPr>
          <w:rFonts w:ascii="Calibri" w:cs="Calibri" w:eastAsia="Calibri" w:hAnsi="Calibri"/>
          <w:b/>
          <w:bCs/>
          <w:color w:val="262626"/>
          <w:sz w:val="22"/>
          <w:szCs w:val="22"/>
        </w:rPr>
        <w:t xml:space="preserve">Rituels et régularité : </w:t>
      </w:r>
      <w:r>
        <w:rPr>
          <w:rFonts w:ascii="Calibri" w:cs="Calibri" w:eastAsia="Calibri" w:hAnsi="Calibri"/>
          <w:color w:val="262626"/>
          <w:sz w:val="22"/>
          <w:szCs w:val="22"/>
        </w:rPr>
        <w:t xml:space="preserve">séries de jours d'apprentissage (streaks) adaptées à la réalité du téléphone partagé (objectif hebdomadaire plutôt que quotidien strict).</w:t>
      </w:r>
    </w:p>
    <w:p>
      <w:pPr>
        <w:pStyle w:val="ListParagraph"/>
        <w:numPr>
          <w:ilvl w:val="0"/>
          <w:numId w:val="2"/>
        </w:numPr>
        <w:spacing w:after="100" w:line="276"/>
        <w:jc w:val="both"/>
      </w:pPr>
      <w:r>
        <w:rPr>
          <w:rFonts w:ascii="Calibri" w:cs="Calibri" w:eastAsia="Calibri" w:hAnsi="Calibri"/>
          <w:b/>
          <w:bCs/>
          <w:color w:val="262626"/>
          <w:sz w:val="22"/>
          <w:szCs w:val="22"/>
        </w:rPr>
        <w:t xml:space="preserve">Célébrations collectives : </w:t>
      </w:r>
      <w:r>
        <w:rPr>
          <w:rFonts w:ascii="Calibri" w:cs="Calibri" w:eastAsia="Calibri" w:hAnsi="Calibri"/>
          <w:color w:val="262626"/>
          <w:sz w:val="22"/>
          <w:szCs w:val="22"/>
        </w:rPr>
        <w:t xml:space="preserve">le cercle d'apprentissage fête ensemble les paliers franchis, transformant la réussite individuelle en fierté collective.</w:t>
      </w:r>
    </w:p>
    <w:p>
      <w:pPr>
        <w:pStyle w:val="Heading2"/>
        <w:spacing w:after="140" w:before="240"/>
      </w:pPr>
      <w:r>
        <w:rPr>
          <w:rFonts w:ascii="Calibri" w:cs="Calibri" w:eastAsia="Calibri" w:hAnsi="Calibri"/>
          <w:b/>
          <w:bCs/>
          <w:color w:val="E8482B"/>
          <w:sz w:val="25"/>
          <w:szCs w:val="25"/>
        </w:rPr>
        <w:t xml:space="preserve">2.3 Le réseau social éducatif : les cercles d'apprentissage</w:t>
      </w:r>
    </w:p>
    <w:p>
      <w:pPr>
        <w:spacing w:after="160" w:line="276"/>
        <w:jc w:val="both"/>
      </w:pPr>
      <w:r>
        <w:rPr>
          <w:rFonts w:ascii="Calibri" w:cs="Calibri" w:eastAsia="Calibri" w:hAnsi="Calibri"/>
          <w:color w:val="262626"/>
          <w:sz w:val="22"/>
          <w:szCs w:val="22"/>
        </w:rPr>
        <w:t xml:space="preserve">Pour des enfants hors école, le véritable réseau social est physique, pas numérique. KAMISSA structure des </w:t>
      </w:r>
      <w:r>
        <w:rPr>
          <w:rFonts w:ascii="Calibri" w:cs="Calibri" w:eastAsia="Calibri" w:hAnsi="Calibri"/>
          <w:b/>
          <w:bCs/>
          <w:color w:val="262626"/>
          <w:sz w:val="22"/>
          <w:szCs w:val="22"/>
        </w:rPr>
        <w:t xml:space="preserve">cercles d'apprentissage</w:t>
      </w:r>
      <w:r>
        <w:rPr>
          <w:rFonts w:ascii="Calibri" w:cs="Calibri" w:eastAsia="Calibri" w:hAnsi="Calibri"/>
          <w:color w:val="262626"/>
          <w:sz w:val="22"/>
          <w:szCs w:val="22"/>
        </w:rPr>
        <w:t xml:space="preserve"> de 5 à 10 enfants, réunis 3 à 5 fois par semaine autour d'un ou deux smartphones, dans un lieu communautaire (cour familiale, local associatif, lieu de culte, boutique).</w:t>
      </w:r>
    </w:p>
    <w:p>
      <w:pPr>
        <w:pStyle w:val="ListParagraph"/>
        <w:numPr>
          <w:ilvl w:val="0"/>
          <w:numId w:val="2"/>
        </w:numPr>
        <w:spacing w:after="100" w:line="276"/>
        <w:jc w:val="both"/>
      </w:pPr>
      <w:r>
        <w:rPr>
          <w:rFonts w:ascii="Calibri" w:cs="Calibri" w:eastAsia="Calibri" w:hAnsi="Calibri"/>
          <w:b/>
          <w:bCs/>
          <w:color w:val="262626"/>
          <w:sz w:val="22"/>
          <w:szCs w:val="22"/>
        </w:rPr>
        <w:t xml:space="preserve">Le champion : </w:t>
      </w:r>
      <w:r>
        <w:rPr>
          <w:rFonts w:ascii="Calibri" w:cs="Calibri" w:eastAsia="Calibri" w:hAnsi="Calibri"/>
          <w:color w:val="262626"/>
          <w:sz w:val="22"/>
          <w:szCs w:val="22"/>
        </w:rPr>
        <w:t xml:space="preserve">un jeune du quartier, 18 à 30 ans, niveau 3e au minimum — souvent quelqu'un que les familles connaissent déjà. Formé en une demi-journée via l'application elle-même, il anime le cercle, fait tourner le téléphone équitablement et encourage chaque enfant par son prénom. Il reçoit une micro-indemnité mensuelle de 30 000 FCFA par mobile money, liée à l'activité réelle du cercle — et gagne surtout un rôle qui compte dans son quartier.</w:t>
      </w:r>
    </w:p>
    <w:p>
      <w:pPr>
        <w:pStyle w:val="ListParagraph"/>
        <w:numPr>
          <w:ilvl w:val="0"/>
          <w:numId w:val="2"/>
        </w:numPr>
        <w:spacing w:after="100" w:line="276"/>
        <w:jc w:val="both"/>
      </w:pPr>
      <w:r>
        <w:rPr>
          <w:rFonts w:ascii="Calibri" w:cs="Calibri" w:eastAsia="Calibri" w:hAnsi="Calibri"/>
          <w:b/>
          <w:bCs/>
          <w:color w:val="262626"/>
          <w:sz w:val="22"/>
          <w:szCs w:val="22"/>
        </w:rPr>
        <w:t xml:space="preserve">Le tutorat entre pairs : </w:t>
      </w:r>
      <w:r>
        <w:rPr>
          <w:rFonts w:ascii="Calibri" w:cs="Calibri" w:eastAsia="Calibri" w:hAnsi="Calibri"/>
          <w:color w:val="262626"/>
          <w:sz w:val="22"/>
          <w:szCs w:val="22"/>
        </w:rPr>
        <w:t xml:space="preserve">les enfants plus avancés « enseignent » aux autres — le meilleur moyen de consolider leurs propres acquis — et gagnent un statut visible de « petit maître » dans l'application.</w:t>
      </w:r>
    </w:p>
    <w:p>
      <w:pPr>
        <w:pStyle w:val="ListParagraph"/>
        <w:numPr>
          <w:ilvl w:val="0"/>
          <w:numId w:val="2"/>
        </w:numPr>
        <w:spacing w:after="100" w:line="276"/>
        <w:jc w:val="both"/>
      </w:pPr>
      <w:r>
        <w:rPr>
          <w:rFonts w:ascii="Calibri" w:cs="Calibri" w:eastAsia="Calibri" w:hAnsi="Calibri"/>
          <w:b/>
          <w:bCs/>
          <w:color w:val="262626"/>
          <w:sz w:val="22"/>
          <w:szCs w:val="22"/>
        </w:rPr>
        <w:t xml:space="preserve">Le lien famille : </w:t>
      </w:r>
      <w:r>
        <w:rPr>
          <w:rFonts w:ascii="Calibri" w:cs="Calibri" w:eastAsia="Calibri" w:hAnsi="Calibri"/>
          <w:color w:val="262626"/>
          <w:sz w:val="22"/>
          <w:szCs w:val="22"/>
        </w:rPr>
        <w:t xml:space="preserve">des messages vocaux simples informent les parents des progrès de leur enfant, construisant l'adhésion familiale, condition clé de l'assiduité.</w:t>
      </w:r>
    </w:p>
    <w:p>
      <w:pPr>
        <w:pStyle w:val="Heading2"/>
        <w:spacing w:after="140" w:before="240"/>
      </w:pPr>
      <w:r>
        <w:rPr>
          <w:rFonts w:ascii="Calibri" w:cs="Calibri" w:eastAsia="Calibri" w:hAnsi="Calibri"/>
          <w:b/>
          <w:bCs/>
          <w:color w:val="E8482B"/>
          <w:sz w:val="25"/>
          <w:szCs w:val="25"/>
        </w:rPr>
        <w:t xml:space="preserve">2.4 Ce que KAMISSA n'est pas</w:t>
      </w:r>
    </w:p>
    <w:p>
      <w:pPr>
        <w:spacing w:after="160" w:line="276"/>
        <w:jc w:val="both"/>
      </w:pPr>
      <w:r>
        <w:rPr>
          <w:rFonts w:ascii="Calibri" w:cs="Calibri" w:eastAsia="Calibri" w:hAnsi="Calibri"/>
          <w:color w:val="262626"/>
          <w:sz w:val="22"/>
          <w:szCs w:val="22"/>
        </w:rPr>
        <w:t xml:space="preserve">KAMISSA ne remplace pas l'école et ne prétend pas le faire. C'est une passerelle : l'objectif explicite est qu'un maximum d'enfants, une fois les fondamentaux acquis, (ré)intègrent le système formel via les dispositifs nationaux de classes passerelles, ou accèdent à une formation professionnelle avec un socle solide. KAMISSA travaillera en coordination avec le Ministère de l'Éducation Nationale et de l'Alphabétisation, et non en parallèle.</w:t>
      </w:r>
    </w:p>
    <w:p>
      <w:r>
        <w:br w:type="page"/>
      </w:r>
    </w:p>
    <w:p>
      <w:pPr>
        <w:pStyle w:val="Heading1"/>
        <w:spacing w:after="200" w:before="360"/>
      </w:pPr>
      <w:r>
        <w:rPr>
          <w:rFonts w:ascii="Calibri" w:cs="Calibri" w:eastAsia="Calibri" w:hAnsi="Calibri"/>
          <w:b/>
          <w:bCs/>
          <w:color w:val="2E3D96"/>
          <w:sz w:val="30"/>
          <w:szCs w:val="30"/>
        </w:rPr>
        <w:t xml:space="preserve">3. Fondements scientifiques</w:t>
      </w:r>
    </w:p>
    <w:p>
      <w:pPr>
        <w:spacing w:after="160" w:line="276"/>
        <w:jc w:val="both"/>
      </w:pPr>
      <w:r>
        <w:rPr>
          <w:rFonts w:ascii="Calibri" w:cs="Calibri" w:eastAsia="Calibri" w:hAnsi="Calibri"/>
          <w:color w:val="262626"/>
          <w:sz w:val="22"/>
          <w:szCs w:val="22"/>
        </w:rPr>
        <w:t xml:space="preserve">Chaque choix de conception de KAMISSA découle d'un résultat de recherche établi :</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3600"/>
        <w:gridCol w:w="2826"/>
      </w:tblGrid>
      <w:tr>
        <w:trPr>
          <w:tblHeader/>
        </w:trPr>
        <w:tc>
          <w:tcPr>
            <w:tcW w:type="dxa" w:w="2600"/>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Principe</w:t>
            </w:r>
          </w:p>
        </w:tc>
        <w:tc>
          <w:tcPr>
            <w:tcW w:type="dxa" w:w="3600"/>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Base scientifique</w:t>
            </w:r>
          </w:p>
        </w:tc>
        <w:tc>
          <w:tcPr>
            <w:tcW w:type="dxa" w:w="2826"/>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Traduction dans KAMISSA</w:t>
            </w:r>
          </w:p>
        </w:tc>
      </w:tr>
      <w:tr>
        <w:tc>
          <w:tcPr>
            <w:tcW w:type="dxa" w:w="26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Apprentissage autonome sur écran</w:t>
            </w:r>
          </w:p>
        </w:tc>
        <w:tc>
          <w:tcPr>
            <w:tcW w:type="dxa" w:w="36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Global Learning XPRIZE (2019) : des enfants non scolarisés atteignent des gains significatifs en lecture et calcul avec un logiciel structuré, sans enseignant.</w:t>
            </w:r>
          </w:p>
        </w:tc>
        <w:tc>
          <w:tcPr>
            <w:tcW w:type="dxa" w:w="28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Parcours auto-guidé, audio-first, testé sur le terrain.</w:t>
            </w:r>
          </w:p>
        </w:tc>
      </w:tr>
      <w:tr>
        <w:tc>
          <w:tcPr>
            <w:tcW w:type="dxa" w:w="26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Enseignement phonique structuré</w:t>
            </w:r>
          </w:p>
        </w:tc>
        <w:tc>
          <w:tcPr>
            <w:tcW w:type="dxa" w:w="36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Consensus de la science de la lecture : l'approche phonique systématique est la plus efficace pour le décodage, en particulier pour les apprenants fragiles.</w:t>
            </w:r>
          </w:p>
        </w:tc>
        <w:tc>
          <w:tcPr>
            <w:tcW w:type="dxa" w:w="28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Progression stricte sons → syllabes → mots → phrases.</w:t>
            </w:r>
          </w:p>
        </w:tc>
      </w:tr>
      <w:tr>
        <w:tc>
          <w:tcPr>
            <w:tcW w:type="dxa" w:w="26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Apprentissage par la maîtrise</w:t>
            </w:r>
          </w:p>
        </w:tc>
        <w:tc>
          <w:tcPr>
            <w:tcW w:type="dxa" w:w="36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Bloom (mastery learning) : conditionner la progression à la maîtrise réduit fortement les écarts entre apprenants.</w:t>
            </w:r>
          </w:p>
        </w:tc>
        <w:tc>
          <w:tcPr>
            <w:tcW w:type="dxa" w:w="28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Seuil de 80 % de réussite avant tout passage au module suivant.</w:t>
            </w:r>
          </w:p>
        </w:tc>
      </w:tr>
      <w:tr>
        <w:tc>
          <w:tcPr>
            <w:tcW w:type="dxa" w:w="26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Répétition espacée et rappel actif</w:t>
            </w:r>
          </w:p>
        </w:tc>
        <w:tc>
          <w:tcPr>
            <w:tcW w:type="dxa" w:w="36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Effet d'espacement et effet de test : deux des résultats les plus robustes de la psychologie cognitive sur la rétention à long terme.</w:t>
            </w:r>
          </w:p>
        </w:tc>
        <w:tc>
          <w:tcPr>
            <w:tcW w:type="dxa" w:w="28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Révisions automatiques programmées des acquis antérieurs dans chaque session.</w:t>
            </w:r>
          </w:p>
        </w:tc>
      </w:tr>
      <w:tr>
        <w:tc>
          <w:tcPr>
            <w:tcW w:type="dxa" w:w="26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Automotivation</w:t>
            </w:r>
          </w:p>
        </w:tc>
        <w:tc>
          <w:tcPr>
            <w:tcW w:type="dxa" w:w="36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Théorie de l'autodétermination (Deci &amp; Ryan) : la motivation durable naît de l'autonomie, du sentiment de compétence et de la relation aux autres.</w:t>
            </w:r>
          </w:p>
        </w:tc>
        <w:tc>
          <w:tcPr>
            <w:tcW w:type="dxa" w:w="28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Choix du chemin par l'enfant, progression visible, cercles et tutorat entre pairs.</w:t>
            </w:r>
          </w:p>
        </w:tc>
      </w:tr>
      <w:tr>
        <w:tc>
          <w:tcPr>
            <w:tcW w:type="dxa" w:w="26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Tutorat entre pairs</w:t>
            </w:r>
          </w:p>
        </w:tc>
        <w:tc>
          <w:tcPr>
            <w:tcW w:type="dxa" w:w="36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Méta-analyses en éducation : le tutorat par les pairs bénéficie à la fois au tuteur et au tutoré, à coût quasi nul.</w:t>
            </w:r>
          </w:p>
        </w:tc>
        <w:tc>
          <w:tcPr>
            <w:tcW w:type="dxa" w:w="28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Statut de « petit maître » pour les enfants avancés au sein des cercles.</w:t>
            </w:r>
          </w:p>
        </w:tc>
      </w:tr>
    </w:tbl>
    <w:p>
      <w:pPr>
        <w:spacing w:after="160"/>
      </w:pPr>
    </w:p>
    <w:p>
      <w:pPr>
        <w:spacing w:after="160" w:line="276"/>
        <w:jc w:val="both"/>
      </w:pPr>
      <w:r>
        <w:rPr>
          <w:rFonts w:ascii="Calibri" w:cs="Calibri" w:eastAsia="Calibri" w:hAnsi="Calibri"/>
          <w:color w:val="262626"/>
          <w:sz w:val="22"/>
          <w:szCs w:val="22"/>
        </w:rPr>
        <w:t xml:space="preserve">La mesure des apprentissages s'appuiera sur les instruments internationaux de référence pour les compétences fondamentales : </w:t>
      </w:r>
      <w:r>
        <w:rPr>
          <w:rFonts w:ascii="Calibri" w:cs="Calibri" w:eastAsia="Calibri" w:hAnsi="Calibri"/>
          <w:b/>
          <w:bCs/>
          <w:color w:val="262626"/>
          <w:sz w:val="22"/>
          <w:szCs w:val="22"/>
        </w:rPr>
        <w:t xml:space="preserve">EGRA</w:t>
      </w:r>
      <w:r>
        <w:rPr>
          <w:rFonts w:ascii="Calibri" w:cs="Calibri" w:eastAsia="Calibri" w:hAnsi="Calibri"/>
          <w:color w:val="262626"/>
          <w:sz w:val="22"/>
          <w:szCs w:val="22"/>
        </w:rPr>
        <w:t xml:space="preserve"> (Early Grade Reading Assessment) et </w:t>
      </w:r>
      <w:r>
        <w:rPr>
          <w:rFonts w:ascii="Calibri" w:cs="Calibri" w:eastAsia="Calibri" w:hAnsi="Calibri"/>
          <w:b/>
          <w:bCs/>
          <w:color w:val="262626"/>
          <w:sz w:val="22"/>
          <w:szCs w:val="22"/>
        </w:rPr>
        <w:t xml:space="preserve">EGMA/ASER</w:t>
      </w:r>
      <w:r>
        <w:rPr>
          <w:rFonts w:ascii="Calibri" w:cs="Calibri" w:eastAsia="Calibri" w:hAnsi="Calibri"/>
          <w:color w:val="262626"/>
          <w:sz w:val="22"/>
          <w:szCs w:val="22"/>
        </w:rPr>
        <w:t xml:space="preserve"> pour le calcul — administrés par un évaluateur externe indépendant, en début et fin de pilote.</w:t>
      </w:r>
    </w:p>
    <w:p>
      <w:r>
        <w:br w:type="page"/>
      </w:r>
    </w:p>
    <w:p>
      <w:pPr>
        <w:pStyle w:val="Heading1"/>
        <w:spacing w:after="200" w:before="360"/>
      </w:pPr>
      <w:r>
        <w:rPr>
          <w:rFonts w:ascii="Calibri" w:cs="Calibri" w:eastAsia="Calibri" w:hAnsi="Calibri"/>
          <w:b/>
          <w:bCs/>
          <w:color w:val="2E3D96"/>
          <w:sz w:val="30"/>
          <w:szCs w:val="30"/>
        </w:rPr>
        <w:t xml:space="preserve">4. Théorie du changement</w:t>
      </w:r>
    </w:p>
    <w:p>
      <w:pPr>
        <w:spacing w:after="160" w:line="276"/>
        <w:jc w:val="both"/>
      </w:pPr>
      <w:r>
        <w:rPr>
          <w:rFonts w:ascii="Calibri" w:cs="Calibri" w:eastAsia="Calibri" w:hAnsi="Calibri"/>
          <w:b/>
          <w:bCs/>
          <w:color w:val="262626"/>
          <w:sz w:val="22"/>
          <w:szCs w:val="22"/>
        </w:rPr>
        <w:t xml:space="preserve">Si </w:t>
      </w:r>
      <w:r>
        <w:rPr>
          <w:rFonts w:ascii="Calibri" w:cs="Calibri" w:eastAsia="Calibri" w:hAnsi="Calibri"/>
          <w:color w:val="262626"/>
          <w:sz w:val="22"/>
          <w:szCs w:val="22"/>
        </w:rPr>
        <w:t xml:space="preserve">des enfants non scolarisés accèdent régulièrement, au sein de cercles d'apprentissage encadrés, à un parcours numérique d'alphabétisation fondé sur la science de la lecture, </w:t>
      </w:r>
      <w:r>
        <w:rPr>
          <w:rFonts w:ascii="Calibri" w:cs="Calibri" w:eastAsia="Calibri" w:hAnsi="Calibri"/>
          <w:b/>
          <w:bCs/>
          <w:color w:val="262626"/>
          <w:sz w:val="22"/>
          <w:szCs w:val="22"/>
        </w:rPr>
        <w:t xml:space="preserve">alors </w:t>
      </w:r>
      <w:r>
        <w:rPr>
          <w:rFonts w:ascii="Calibri" w:cs="Calibri" w:eastAsia="Calibri" w:hAnsi="Calibri"/>
          <w:color w:val="262626"/>
          <w:sz w:val="22"/>
          <w:szCs w:val="22"/>
        </w:rPr>
        <w:t xml:space="preserve">ils acquièrent les compétences fondamentales en lecture, écriture et calcul, </w:t>
      </w:r>
      <w:r>
        <w:rPr>
          <w:rFonts w:ascii="Calibri" w:cs="Calibri" w:eastAsia="Calibri" w:hAnsi="Calibri"/>
          <w:b/>
          <w:bCs/>
          <w:color w:val="262626"/>
          <w:sz w:val="22"/>
          <w:szCs w:val="22"/>
        </w:rPr>
        <w:t xml:space="preserve">ce qui </w:t>
      </w:r>
      <w:r>
        <w:rPr>
          <w:rFonts w:ascii="Calibri" w:cs="Calibri" w:eastAsia="Calibri" w:hAnsi="Calibri"/>
          <w:color w:val="262626"/>
          <w:sz w:val="22"/>
          <w:szCs w:val="22"/>
        </w:rPr>
        <w:t xml:space="preserve">leur ouvre la réintégration scolaire ou la formation professionnelle et brise la transmission intergénérationnelle de l'analphabétisme.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700"/>
        <w:gridCol w:w="2400"/>
        <w:gridCol w:w="2400"/>
        <w:gridCol w:w="2526"/>
      </w:tblGrid>
      <w:tr>
        <w:trPr>
          <w:tblHeader/>
        </w:trPr>
        <w:tc>
          <w:tcPr>
            <w:tcW w:type="dxa" w:w="1700"/>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Niveau</w:t>
            </w:r>
          </w:p>
        </w:tc>
        <w:tc>
          <w:tcPr>
            <w:tcW w:type="dxa" w:w="2400"/>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Éléments</w:t>
            </w:r>
          </w:p>
        </w:tc>
        <w:tc>
          <w:tcPr>
            <w:tcW w:type="dxa" w:w="2400"/>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Indicateurs</w:t>
            </w:r>
          </w:p>
        </w:tc>
        <w:tc>
          <w:tcPr>
            <w:tcW w:type="dxa" w:w="2526"/>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Cibles du pilote (12 mois)</w:t>
            </w:r>
          </w:p>
        </w:tc>
      </w:tr>
      <w:tr>
        <w:tc>
          <w:tcPr>
            <w:tcW w:type="dxa" w:w="17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Intrants</w:t>
            </w:r>
          </w:p>
        </w:tc>
        <w:tc>
          <w:tcPr>
            <w:tcW w:type="dxa" w:w="24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Application KAMISSA, contenu pédagogique, smartphones, champions formés, financement de 173 M FCFA.</w:t>
            </w:r>
          </w:p>
        </w:tc>
        <w:tc>
          <w:tcPr>
            <w:tcW w:type="dxa" w:w="24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Budget mobilisé ; app livrée ; champions recrutés et formés.</w:t>
            </w:r>
          </w:p>
        </w:tc>
        <w:tc>
          <w:tcPr>
            <w:tcW w:type="dxa" w:w="25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100 % du budget sécurisé ; 50 champions formés.</w:t>
            </w:r>
          </w:p>
        </w:tc>
      </w:tr>
      <w:tr>
        <w:tc>
          <w:tcPr>
            <w:tcW w:type="dxa" w:w="17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Activités</w:t>
            </w:r>
          </w:p>
        </w:tc>
        <w:tc>
          <w:tcPr>
            <w:tcW w:type="dxa" w:w="24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Animation des cercles, sessions d'apprentissage, suivi hebdomadaire, communication familles.</w:t>
            </w:r>
          </w:p>
        </w:tc>
        <w:tc>
          <w:tcPr>
            <w:tcW w:type="dxa" w:w="24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Nombre de cercles actifs ; sessions/semaine ; taux d'assiduité.</w:t>
            </w:r>
          </w:p>
        </w:tc>
        <w:tc>
          <w:tcPr>
            <w:tcW w:type="dxa" w:w="25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50 cercles actifs ; ≥ 3 sessions/semaine ; assiduité ≥ 70 %.</w:t>
            </w:r>
          </w:p>
        </w:tc>
      </w:tr>
      <w:tr>
        <w:tc>
          <w:tcPr>
            <w:tcW w:type="dxa" w:w="17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Extrants</w:t>
            </w:r>
          </w:p>
        </w:tc>
        <w:tc>
          <w:tcPr>
            <w:tcW w:type="dxa" w:w="24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Enfants inscrits et actifs, leçons complétées, compétences validées.</w:t>
            </w:r>
          </w:p>
        </w:tc>
        <w:tc>
          <w:tcPr>
            <w:tcW w:type="dxa" w:w="24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Enfants actifs ; taux de rétention à 12 mois ; modules complétés.</w:t>
            </w:r>
          </w:p>
        </w:tc>
        <w:tc>
          <w:tcPr>
            <w:tcW w:type="dxa" w:w="25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500 enfants inscrits ; rétention ≥ 75 % ; niveau 1 complété par ≥ 80 % des actifs.</w:t>
            </w:r>
          </w:p>
        </w:tc>
      </w:tr>
      <w:tr>
        <w:tc>
          <w:tcPr>
            <w:tcW w:type="dxa" w:w="17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Résultats</w:t>
            </w:r>
          </w:p>
        </w:tc>
        <w:tc>
          <w:tcPr>
            <w:tcW w:type="dxa" w:w="24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Compétences fondamentales acquises en lecture et calcul.</w:t>
            </w:r>
          </w:p>
        </w:tc>
        <w:tc>
          <w:tcPr>
            <w:tcW w:type="dxa" w:w="24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Scores EGRA/EGMA avant-après (évaluation externe).</w:t>
            </w:r>
          </w:p>
        </w:tc>
        <w:tc>
          <w:tcPr>
            <w:tcW w:type="dxa" w:w="25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 60 % des enfants assidus lisent des mots simples ; gain EGRA significatif vs situation initiale.</w:t>
            </w:r>
          </w:p>
        </w:tc>
      </w:tr>
      <w:tr>
        <w:tc>
          <w:tcPr>
            <w:tcW w:type="dxa" w:w="17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Impact</w:t>
            </w:r>
          </w:p>
        </w:tc>
        <w:tc>
          <w:tcPr>
            <w:tcW w:type="dxa" w:w="24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Réintégration scolaire, poursuite en formation, estime de soi, adhésion communautaire.</w:t>
            </w:r>
          </w:p>
        </w:tc>
        <w:tc>
          <w:tcPr>
            <w:tcW w:type="dxa" w:w="24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Enfants orientés vers classes passerelles / école formelle ; satisfaction des familles.</w:t>
            </w:r>
          </w:p>
        </w:tc>
        <w:tc>
          <w:tcPr>
            <w:tcW w:type="dxa" w:w="25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 20 % des enfants éligibles orientés vers un parcours formel dès l'année suivante.</w:t>
            </w:r>
          </w:p>
        </w:tc>
      </w:tr>
    </w:tbl>
    <w:p>
      <w:pPr>
        <w:spacing w:after="120"/>
      </w:pPr>
    </w:p>
    <w:p>
      <w:pPr>
        <w:spacing w:after="160" w:line="276"/>
        <w:jc w:val="both"/>
      </w:pPr>
      <w:r>
        <w:rPr>
          <w:rFonts w:ascii="Calibri" w:cs="Calibri" w:eastAsia="Calibri" w:hAnsi="Calibri"/>
          <w:b/>
          <w:bCs/>
          <w:color w:val="262626"/>
          <w:sz w:val="22"/>
          <w:szCs w:val="22"/>
        </w:rPr>
        <w:t xml:space="preserve">Hypothèses critiques : </w:t>
      </w:r>
      <w:r>
        <w:rPr>
          <w:rFonts w:ascii="Calibri" w:cs="Calibri" w:eastAsia="Calibri" w:hAnsi="Calibri"/>
          <w:color w:val="262626"/>
          <w:sz w:val="22"/>
          <w:szCs w:val="22"/>
        </w:rPr>
        <w:t xml:space="preserve">(1) les familles autorisent une participation régulière, y compris des filles ; (2) un smartphone est disponible dans l'entourage de chaque cercle ; (3) les champions restent engagés avec une micro-indemnité ; (4) l'apprentissage autonome validé ailleurs se reproduit dans le contexte ivoirien — c'est précisément ce que le pilote doit démontrer.</w:t>
      </w:r>
    </w:p>
    <w:p>
      <w:r>
        <w:br w:type="page"/>
      </w:r>
    </w:p>
    <w:p>
      <w:pPr>
        <w:pStyle w:val="Heading1"/>
        <w:spacing w:after="200" w:before="360"/>
      </w:pPr>
      <w:r>
        <w:rPr>
          <w:rFonts w:ascii="Calibri" w:cs="Calibri" w:eastAsia="Calibri" w:hAnsi="Calibri"/>
          <w:b/>
          <w:bCs/>
          <w:color w:val="2E3D96"/>
          <w:sz w:val="30"/>
          <w:szCs w:val="30"/>
        </w:rPr>
        <w:t xml:space="preserve">5. Le programme pilote — 12 mois, 500 enfants</w:t>
      </w:r>
    </w:p>
    <w:p>
      <w:pPr>
        <w:pStyle w:val="Heading2"/>
        <w:spacing w:after="140" w:before="240"/>
      </w:pPr>
      <w:r>
        <w:rPr>
          <w:rFonts w:ascii="Calibri" w:cs="Calibri" w:eastAsia="Calibri" w:hAnsi="Calibri"/>
          <w:b/>
          <w:bCs/>
          <w:color w:val="E8482B"/>
          <w:sz w:val="25"/>
          <w:szCs w:val="25"/>
        </w:rPr>
        <w:t xml:space="preserve">5.1 Dispositif</w:t>
      </w:r>
    </w:p>
    <w:p>
      <w:pPr>
        <w:pStyle w:val="ListParagraph"/>
        <w:numPr>
          <w:ilvl w:val="0"/>
          <w:numId w:val="2"/>
        </w:numPr>
        <w:spacing w:after="100" w:line="276"/>
        <w:jc w:val="both"/>
      </w:pPr>
      <w:r>
        <w:rPr>
          <w:rFonts w:ascii="Calibri" w:cs="Calibri" w:eastAsia="Calibri" w:hAnsi="Calibri"/>
          <w:b/>
          <w:bCs/>
          <w:color w:val="262626"/>
          <w:sz w:val="22"/>
          <w:szCs w:val="22"/>
        </w:rPr>
        <w:t xml:space="preserve">Cible : </w:t>
      </w:r>
      <w:r>
        <w:rPr>
          <w:rFonts w:ascii="Calibri" w:cs="Calibri" w:eastAsia="Calibri" w:hAnsi="Calibri"/>
          <w:color w:val="262626"/>
          <w:sz w:val="22"/>
          <w:szCs w:val="22"/>
        </w:rPr>
        <w:t xml:space="preserve">500 enfants de 6 à 14 ans, jamais scolarisés ou déscolarisés depuis plus d'un an, avec un objectif de parité filles-garçons (≥ 50 % de filles).</w:t>
      </w:r>
    </w:p>
    <w:p>
      <w:pPr>
        <w:pStyle w:val="ListParagraph"/>
        <w:numPr>
          <w:ilvl w:val="0"/>
          <w:numId w:val="2"/>
        </w:numPr>
        <w:spacing w:after="100" w:line="276"/>
        <w:jc w:val="both"/>
      </w:pPr>
      <w:r>
        <w:rPr>
          <w:rFonts w:ascii="Calibri" w:cs="Calibri" w:eastAsia="Calibri" w:hAnsi="Calibri"/>
          <w:b/>
          <w:bCs/>
          <w:color w:val="262626"/>
          <w:sz w:val="22"/>
          <w:szCs w:val="22"/>
        </w:rPr>
        <w:t xml:space="preserve">Implantation : </w:t>
      </w:r>
      <w:r>
        <w:rPr>
          <w:rFonts w:ascii="Calibri" w:cs="Calibri" w:eastAsia="Calibri" w:hAnsi="Calibri"/>
          <w:color w:val="262626"/>
          <w:sz w:val="22"/>
          <w:szCs w:val="22"/>
        </w:rPr>
        <w:t xml:space="preserve">50 cercles d'apprentissage — 35 en zones urbaines précaires d'Abidjan (Abobo, Yopougon, Port-Bouët) et 15 en zone rurale (région à confirmer avec les partenaires, ex. Gbêkê ou Tonkpi), afin de tester les deux contextes.</w:t>
      </w:r>
    </w:p>
    <w:p>
      <w:pPr>
        <w:pStyle w:val="ListParagraph"/>
        <w:numPr>
          <w:ilvl w:val="0"/>
          <w:numId w:val="2"/>
        </w:numPr>
        <w:spacing w:after="100" w:line="276"/>
        <w:jc w:val="both"/>
      </w:pPr>
      <w:r>
        <w:rPr>
          <w:rFonts w:ascii="Calibri" w:cs="Calibri" w:eastAsia="Calibri" w:hAnsi="Calibri"/>
          <w:b/>
          <w:bCs/>
          <w:color w:val="262626"/>
          <w:sz w:val="22"/>
          <w:szCs w:val="22"/>
        </w:rPr>
        <w:t xml:space="preserve">Encadrement : </w:t>
      </w:r>
      <w:r>
        <w:rPr>
          <w:rFonts w:ascii="Calibri" w:cs="Calibri" w:eastAsia="Calibri" w:hAnsi="Calibri"/>
          <w:color w:val="262626"/>
          <w:sz w:val="22"/>
          <w:szCs w:val="22"/>
        </w:rPr>
        <w:t xml:space="preserve">50 champions communautaires, 2 superviseurs terrain, 1 coordinateur pédagogique, 1 chef de projet.</w:t>
      </w:r>
    </w:p>
    <w:p>
      <w:pPr>
        <w:pStyle w:val="ListParagraph"/>
        <w:numPr>
          <w:ilvl w:val="0"/>
          <w:numId w:val="2"/>
        </w:numPr>
        <w:spacing w:after="100" w:line="276"/>
        <w:jc w:val="both"/>
      </w:pPr>
      <w:r>
        <w:rPr>
          <w:rFonts w:ascii="Calibri" w:cs="Calibri" w:eastAsia="Calibri" w:hAnsi="Calibri"/>
          <w:b/>
          <w:bCs/>
          <w:color w:val="262626"/>
          <w:sz w:val="22"/>
          <w:szCs w:val="22"/>
        </w:rPr>
        <w:t xml:space="preserve">Matériel : </w:t>
      </w:r>
      <w:r>
        <w:rPr>
          <w:rFonts w:ascii="Calibri" w:cs="Calibri" w:eastAsia="Calibri" w:hAnsi="Calibri"/>
          <w:color w:val="262626"/>
          <w:sz w:val="22"/>
          <w:szCs w:val="22"/>
        </w:rPr>
        <w:t xml:space="preserve">60 smartphones robustes dédiés (avec coques et batteries externes), en complément des téléphones familiaux disponibles.</w:t>
      </w:r>
    </w:p>
    <w:p>
      <w:pPr>
        <w:pStyle w:val="Heading2"/>
        <w:spacing w:after="140" w:before="240"/>
      </w:pPr>
      <w:r>
        <w:rPr>
          <w:rFonts w:ascii="Calibri" w:cs="Calibri" w:eastAsia="Calibri" w:hAnsi="Calibri"/>
          <w:b/>
          <w:bCs/>
          <w:color w:val="E8482B"/>
          <w:sz w:val="25"/>
          <w:szCs w:val="25"/>
        </w:rPr>
        <w:t xml:space="preserve">5.2 Phasage</w:t>
      </w:r>
    </w:p>
    <w:p>
      <w:pPr>
        <w:pStyle w:val="ListParagraph"/>
        <w:numPr>
          <w:ilvl w:val="0"/>
          <w:numId w:val="2"/>
        </w:numPr>
        <w:spacing w:after="100" w:line="276"/>
        <w:jc w:val="both"/>
      </w:pPr>
      <w:r>
        <w:rPr>
          <w:rFonts w:ascii="Calibri" w:cs="Calibri" w:eastAsia="Calibri" w:hAnsi="Calibri"/>
          <w:b/>
          <w:bCs/>
          <w:color w:val="262626"/>
          <w:sz w:val="22"/>
          <w:szCs w:val="22"/>
        </w:rPr>
        <w:t xml:space="preserve">Mois 1-3 — Construire : </w:t>
      </w:r>
      <w:r>
        <w:rPr>
          <w:rFonts w:ascii="Calibri" w:cs="Calibri" w:eastAsia="Calibri" w:hAnsi="Calibri"/>
          <w:color w:val="262626"/>
          <w:sz w:val="22"/>
          <w:szCs w:val="22"/>
        </w:rPr>
        <w:t xml:space="preserve">finalisation du MVP, production du contenu niveau 1, sélection des sites avec les autorités locales et les leaders communautaires, recrutement et formation des champions.</w:t>
      </w:r>
    </w:p>
    <w:p>
      <w:pPr>
        <w:pStyle w:val="ListParagraph"/>
        <w:numPr>
          <w:ilvl w:val="0"/>
          <w:numId w:val="2"/>
        </w:numPr>
        <w:spacing w:after="100" w:line="276"/>
        <w:jc w:val="both"/>
      </w:pPr>
      <w:r>
        <w:rPr>
          <w:rFonts w:ascii="Calibri" w:cs="Calibri" w:eastAsia="Calibri" w:hAnsi="Calibri"/>
          <w:b/>
          <w:bCs/>
          <w:color w:val="262626"/>
          <w:sz w:val="22"/>
          <w:szCs w:val="22"/>
        </w:rPr>
        <w:t xml:space="preserve">Mois 3-4 — Mesurer : </w:t>
      </w:r>
      <w:r>
        <w:rPr>
          <w:rFonts w:ascii="Calibri" w:cs="Calibri" w:eastAsia="Calibri" w:hAnsi="Calibri"/>
          <w:color w:val="262626"/>
          <w:sz w:val="22"/>
          <w:szCs w:val="22"/>
        </w:rPr>
        <w:t xml:space="preserve">identification des enfants avec les communautés, consentement des familles, évaluation initiale EGRA/EGMA par un évaluateur externe.</w:t>
      </w:r>
    </w:p>
    <w:p>
      <w:pPr>
        <w:pStyle w:val="ListParagraph"/>
        <w:numPr>
          <w:ilvl w:val="0"/>
          <w:numId w:val="2"/>
        </w:numPr>
        <w:spacing w:after="100" w:line="276"/>
        <w:jc w:val="both"/>
      </w:pPr>
      <w:r>
        <w:rPr>
          <w:rFonts w:ascii="Calibri" w:cs="Calibri" w:eastAsia="Calibri" w:hAnsi="Calibri"/>
          <w:b/>
          <w:bCs/>
          <w:color w:val="262626"/>
          <w:sz w:val="22"/>
          <w:szCs w:val="22"/>
        </w:rPr>
        <w:t xml:space="preserve">Mois 4-11 — Apprendre : </w:t>
      </w:r>
      <w:r>
        <w:rPr>
          <w:rFonts w:ascii="Calibri" w:cs="Calibri" w:eastAsia="Calibri" w:hAnsi="Calibri"/>
          <w:color w:val="262626"/>
          <w:sz w:val="22"/>
          <w:szCs w:val="22"/>
        </w:rPr>
        <w:t xml:space="preserve">fonctionnement des cercles, itérations produit mensuelles à partir des données d'usage, production progressive des niveaux 2 et 3, tableaux de bord parrains en continu.</w:t>
      </w:r>
    </w:p>
    <w:p>
      <w:pPr>
        <w:pStyle w:val="ListParagraph"/>
        <w:numPr>
          <w:ilvl w:val="0"/>
          <w:numId w:val="2"/>
        </w:numPr>
        <w:spacing w:after="100" w:line="276"/>
        <w:jc w:val="both"/>
      </w:pPr>
      <w:r>
        <w:rPr>
          <w:rFonts w:ascii="Calibri" w:cs="Calibri" w:eastAsia="Calibri" w:hAnsi="Calibri"/>
          <w:b/>
          <w:bCs/>
          <w:color w:val="262626"/>
          <w:sz w:val="22"/>
          <w:szCs w:val="22"/>
        </w:rPr>
        <w:t xml:space="preserve">Mois 11-12 — Prouver : </w:t>
      </w:r>
      <w:r>
        <w:rPr>
          <w:rFonts w:ascii="Calibri" w:cs="Calibri" w:eastAsia="Calibri" w:hAnsi="Calibri"/>
          <w:color w:val="262626"/>
          <w:sz w:val="22"/>
          <w:szCs w:val="22"/>
        </w:rPr>
        <w:t xml:space="preserve">évaluation finale externe, rapport d'impact, orientation des enfants éligibles vers les dispositifs formels, préparation du passage à l'échelle (objectif : 5 000 enfants en année 2).</w:t>
      </w:r>
    </w:p>
    <w:p>
      <w:pPr>
        <w:pStyle w:val="Heading2"/>
        <w:spacing w:after="140" w:before="240"/>
      </w:pPr>
      <w:r>
        <w:rPr>
          <w:rFonts w:ascii="Calibri" w:cs="Calibri" w:eastAsia="Calibri" w:hAnsi="Calibri"/>
          <w:b/>
          <w:bCs/>
          <w:color w:val="E8482B"/>
          <w:sz w:val="25"/>
          <w:szCs w:val="25"/>
        </w:rPr>
        <w:t xml:space="preserve">5.3 Protection de l'enfance</w:t>
      </w:r>
    </w:p>
    <w:p>
      <w:pPr>
        <w:spacing w:after="160" w:line="276"/>
        <w:jc w:val="both"/>
      </w:pPr>
      <w:r>
        <w:rPr>
          <w:rFonts w:ascii="Calibri" w:cs="Calibri" w:eastAsia="Calibri" w:hAnsi="Calibri"/>
          <w:color w:val="262626"/>
          <w:sz w:val="22"/>
          <w:szCs w:val="22"/>
        </w:rPr>
        <w:t xml:space="preserve">Le projet appliquera une politique stricte de sauvegarde de l'enfance : vérification des antécédents et formation obligatoire des champions, sessions en lieux ouverts et visibles, consentement éclairé des familles, anonymisation des données des enfants sur les tableaux de bord parrains (prénom et progression uniquement, aucune donnée permettant la localisation), et mécanisme de signalement communautaire. Les données seront traitées en conformité avec la loi ivoirienne sur la protection des données personnelles et sous supervision de l'ARTCI.</w:t>
      </w:r>
    </w:p>
    <w:p>
      <w:r>
        <w:br w:type="page"/>
      </w:r>
    </w:p>
    <w:p>
      <w:pPr>
        <w:pStyle w:val="Heading1"/>
        <w:spacing w:after="200" w:before="360"/>
      </w:pPr>
      <w:r>
        <w:rPr>
          <w:rFonts w:ascii="Calibri" w:cs="Calibri" w:eastAsia="Calibri" w:hAnsi="Calibri"/>
          <w:b/>
          <w:bCs/>
          <w:color w:val="2E3D96"/>
          <w:sz w:val="30"/>
          <w:szCs w:val="30"/>
        </w:rPr>
        <w:t xml:space="preserve">6. Budget du pilote</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4900"/>
        <w:gridCol w:w="1900"/>
        <w:gridCol w:w="2226"/>
      </w:tblGrid>
      <w:tr>
        <w:trPr>
          <w:tblHeader/>
        </w:trPr>
        <w:tc>
          <w:tcPr>
            <w:tcW w:type="dxa" w:w="4900"/>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Poste</w:t>
            </w:r>
          </w:p>
        </w:tc>
        <w:tc>
          <w:tcPr>
            <w:tcW w:type="dxa" w:w="1900"/>
            <w:shd w:fill="1F4E79" w:val="clear"/>
            <w:tcMar>
              <w:top w:type="dxa" w:w="80"/>
              <w:left w:type="dxa" w:w="110"/>
              <w:bottom w:type="dxa" w:w="80"/>
              <w:right w:type="dxa" w:w="110"/>
            </w:tcMar>
            <w:vAlign w:val="center"/>
          </w:tcPr>
          <w:p>
            <w:pPr>
              <w:spacing w:after="0" w:line="252"/>
              <w:jc w:val="right"/>
            </w:pPr>
            <w:r>
              <w:rPr>
                <w:rFonts w:ascii="Calibri" w:cs="Calibri" w:eastAsia="Calibri" w:hAnsi="Calibri"/>
                <w:b/>
                <w:bCs/>
                <w:color w:val="FFFFFF"/>
                <w:sz w:val="20"/>
                <w:szCs w:val="20"/>
              </w:rPr>
              <w:t xml:space="preserve">Montant (FCFA)</w:t>
            </w:r>
          </w:p>
        </w:tc>
        <w:tc>
          <w:tcPr>
            <w:tcW w:type="dxa" w:w="2226"/>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Commentaire</w:t>
            </w:r>
          </w:p>
        </w:tc>
      </w:tr>
      <w:tr>
        <w:tc>
          <w:tcPr>
            <w:tcW w:type="dxa" w:w="49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A. Développement produit (PWA offline-first, profils partagés, tableaux de bord parrains)</w:t>
            </w:r>
          </w:p>
        </w:tc>
        <w:tc>
          <w:tcPr>
            <w:tcW w:type="dxa" w:w="1900"/>
            <w:tcMar>
              <w:top w:type="dxa" w:w="80"/>
              <w:left w:type="dxa" w:w="110"/>
              <w:bottom w:type="dxa" w:w="80"/>
              <w:right w:type="dxa" w:w="110"/>
            </w:tcMar>
            <w:vAlign w:val="center"/>
          </w:tcPr>
          <w:p>
            <w:pPr>
              <w:spacing w:after="0" w:line="252"/>
              <w:jc w:val="right"/>
            </w:pPr>
            <w:r>
              <w:rPr>
                <w:rFonts w:ascii="Calibri" w:cs="Calibri" w:eastAsia="Calibri" w:hAnsi="Calibri"/>
                <w:b w:val="false"/>
                <w:bCs w:val="false"/>
                <w:color w:val="262626"/>
                <w:sz w:val="19"/>
                <w:szCs w:val="19"/>
              </w:rPr>
              <w:t xml:space="preserve">45 000 000</w:t>
            </w:r>
          </w:p>
        </w:tc>
        <w:tc>
          <w:tcPr>
            <w:tcW w:type="dxa" w:w="22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Investissement one-off, réutilisable à l'échelle</w:t>
            </w:r>
          </w:p>
        </w:tc>
      </w:tr>
      <w:tr>
        <w:tc>
          <w:tcPr>
            <w:tcW w:type="dxa" w:w="49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B. Contenu pédagogique (≈ 250 leçons audio-guidées, voix, illustrations, niveaux 1 à 3)</w:t>
            </w:r>
          </w:p>
        </w:tc>
        <w:tc>
          <w:tcPr>
            <w:tcW w:type="dxa" w:w="1900"/>
            <w:shd w:fill="F3F0E6" w:val="clear"/>
            <w:tcMar>
              <w:top w:type="dxa" w:w="80"/>
              <w:left w:type="dxa" w:w="110"/>
              <w:bottom w:type="dxa" w:w="80"/>
              <w:right w:type="dxa" w:w="110"/>
            </w:tcMar>
            <w:vAlign w:val="center"/>
          </w:tcPr>
          <w:p>
            <w:pPr>
              <w:spacing w:after="0" w:line="252"/>
              <w:jc w:val="right"/>
            </w:pPr>
            <w:r>
              <w:rPr>
                <w:rFonts w:ascii="Calibri" w:cs="Calibri" w:eastAsia="Calibri" w:hAnsi="Calibri"/>
                <w:b w:val="false"/>
                <w:bCs w:val="false"/>
                <w:color w:val="262626"/>
                <w:sz w:val="19"/>
                <w:szCs w:val="19"/>
              </w:rPr>
              <w:t xml:space="preserve">25 000 000</w:t>
            </w:r>
          </w:p>
        </w:tc>
        <w:tc>
          <w:tcPr>
            <w:tcW w:type="dxa" w:w="22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Investissement one-off</w:t>
            </w:r>
          </w:p>
        </w:tc>
      </w:tr>
      <w:tr>
        <w:tc>
          <w:tcPr>
            <w:tcW w:type="dxa" w:w="49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C. Équipement (60 smartphones robustes, coques, batteries externes)</w:t>
            </w:r>
          </w:p>
        </w:tc>
        <w:tc>
          <w:tcPr>
            <w:tcW w:type="dxa" w:w="1900"/>
            <w:tcMar>
              <w:top w:type="dxa" w:w="80"/>
              <w:left w:type="dxa" w:w="110"/>
              <w:bottom w:type="dxa" w:w="80"/>
              <w:right w:type="dxa" w:w="110"/>
            </w:tcMar>
            <w:vAlign w:val="center"/>
          </w:tcPr>
          <w:p>
            <w:pPr>
              <w:spacing w:after="0" w:line="252"/>
              <w:jc w:val="right"/>
            </w:pPr>
            <w:r>
              <w:rPr>
                <w:rFonts w:ascii="Calibri" w:cs="Calibri" w:eastAsia="Calibri" w:hAnsi="Calibri"/>
                <w:b w:val="false"/>
                <w:bCs w:val="false"/>
                <w:color w:val="262626"/>
                <w:sz w:val="19"/>
                <w:szCs w:val="19"/>
              </w:rPr>
              <w:t xml:space="preserve">7 500 000</w:t>
            </w:r>
          </w:p>
        </w:tc>
        <w:tc>
          <w:tcPr>
            <w:tcW w:type="dxa" w:w="22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 125 000 FCFA/kit</w:t>
            </w:r>
          </w:p>
        </w:tc>
      </w:tr>
      <w:tr>
        <w:tc>
          <w:tcPr>
            <w:tcW w:type="dxa" w:w="49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D. Indemnités champions (50 × 30 000 FCFA × 10 mois, via mobile money)</w:t>
            </w:r>
          </w:p>
        </w:tc>
        <w:tc>
          <w:tcPr>
            <w:tcW w:type="dxa" w:w="1900"/>
            <w:shd w:fill="F3F0E6" w:val="clear"/>
            <w:tcMar>
              <w:top w:type="dxa" w:w="80"/>
              <w:left w:type="dxa" w:w="110"/>
              <w:bottom w:type="dxa" w:w="80"/>
              <w:right w:type="dxa" w:w="110"/>
            </w:tcMar>
            <w:vAlign w:val="center"/>
          </w:tcPr>
          <w:p>
            <w:pPr>
              <w:spacing w:after="0" w:line="252"/>
              <w:jc w:val="right"/>
            </w:pPr>
            <w:r>
              <w:rPr>
                <w:rFonts w:ascii="Calibri" w:cs="Calibri" w:eastAsia="Calibri" w:hAnsi="Calibri"/>
                <w:b w:val="false"/>
                <w:bCs w:val="false"/>
                <w:color w:val="262626"/>
                <w:sz w:val="19"/>
                <w:szCs w:val="19"/>
              </w:rPr>
              <w:t xml:space="preserve">15 000 000</w:t>
            </w:r>
          </w:p>
        </w:tc>
        <w:tc>
          <w:tcPr>
            <w:tcW w:type="dxa" w:w="22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Conditionnées à l'activité réelle</w:t>
            </w:r>
          </w:p>
        </w:tc>
      </w:tr>
      <w:tr>
        <w:tc>
          <w:tcPr>
            <w:tcW w:type="dxa" w:w="49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E. Équipe pilote (chef de projet, coordinateur pédagogique, 2 superviseurs, 12 mois)</w:t>
            </w:r>
          </w:p>
        </w:tc>
        <w:tc>
          <w:tcPr>
            <w:tcW w:type="dxa" w:w="1900"/>
            <w:tcMar>
              <w:top w:type="dxa" w:w="80"/>
              <w:left w:type="dxa" w:w="110"/>
              <w:bottom w:type="dxa" w:w="80"/>
              <w:right w:type="dxa" w:w="110"/>
            </w:tcMar>
            <w:vAlign w:val="center"/>
          </w:tcPr>
          <w:p>
            <w:pPr>
              <w:spacing w:after="0" w:line="252"/>
              <w:jc w:val="right"/>
            </w:pPr>
            <w:r>
              <w:rPr>
                <w:rFonts w:ascii="Calibri" w:cs="Calibri" w:eastAsia="Calibri" w:hAnsi="Calibri"/>
                <w:b w:val="false"/>
                <w:bCs w:val="false"/>
                <w:color w:val="262626"/>
                <w:sz w:val="19"/>
                <w:szCs w:val="19"/>
              </w:rPr>
              <w:t xml:space="preserve">36 000 000</w:t>
            </w:r>
          </w:p>
        </w:tc>
        <w:tc>
          <w:tcPr>
            <w:tcW w:type="dxa" w:w="22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Charges comprises</w:t>
            </w:r>
          </w:p>
        </w:tc>
      </w:tr>
      <w:tr>
        <w:tc>
          <w:tcPr>
            <w:tcW w:type="dxa" w:w="49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F. Formation des champions et ateliers communautaires</w:t>
            </w:r>
          </w:p>
        </w:tc>
        <w:tc>
          <w:tcPr>
            <w:tcW w:type="dxa" w:w="1900"/>
            <w:shd w:fill="F3F0E6" w:val="clear"/>
            <w:tcMar>
              <w:top w:type="dxa" w:w="80"/>
              <w:left w:type="dxa" w:w="110"/>
              <w:bottom w:type="dxa" w:w="80"/>
              <w:right w:type="dxa" w:w="110"/>
            </w:tcMar>
            <w:vAlign w:val="center"/>
          </w:tcPr>
          <w:p>
            <w:pPr>
              <w:spacing w:after="0" w:line="252"/>
              <w:jc w:val="right"/>
            </w:pPr>
            <w:r>
              <w:rPr>
                <w:rFonts w:ascii="Calibri" w:cs="Calibri" w:eastAsia="Calibri" w:hAnsi="Calibri"/>
                <w:b w:val="false"/>
                <w:bCs w:val="false"/>
                <w:color w:val="262626"/>
                <w:sz w:val="19"/>
                <w:szCs w:val="19"/>
              </w:rPr>
              <w:t xml:space="preserve">5 000 000</w:t>
            </w:r>
          </w:p>
        </w:tc>
        <w:tc>
          <w:tcPr>
            <w:tcW w:type="dxa" w:w="22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Y compris kits d'animation</w:t>
            </w:r>
          </w:p>
        </w:tc>
      </w:tr>
      <w:tr>
        <w:tc>
          <w:tcPr>
            <w:tcW w:type="dxa" w:w="49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G. Connectivité, hébergement, SMS/notifications vocales</w:t>
            </w:r>
          </w:p>
        </w:tc>
        <w:tc>
          <w:tcPr>
            <w:tcW w:type="dxa" w:w="1900"/>
            <w:tcMar>
              <w:top w:type="dxa" w:w="80"/>
              <w:left w:type="dxa" w:w="110"/>
              <w:bottom w:type="dxa" w:w="80"/>
              <w:right w:type="dxa" w:w="110"/>
            </w:tcMar>
            <w:vAlign w:val="center"/>
          </w:tcPr>
          <w:p>
            <w:pPr>
              <w:spacing w:after="0" w:line="252"/>
              <w:jc w:val="right"/>
            </w:pPr>
            <w:r>
              <w:rPr>
                <w:rFonts w:ascii="Calibri" w:cs="Calibri" w:eastAsia="Calibri" w:hAnsi="Calibri"/>
                <w:b w:val="false"/>
                <w:bCs w:val="false"/>
                <w:color w:val="262626"/>
                <w:sz w:val="19"/>
                <w:szCs w:val="19"/>
              </w:rPr>
              <w:t xml:space="preserve">4 000 000</w:t>
            </w:r>
          </w:p>
        </w:tc>
        <w:tc>
          <w:tcPr>
            <w:tcW w:type="dxa" w:w="22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
            </w:r>
          </w:p>
        </w:tc>
      </w:tr>
      <w:tr>
        <w:tc>
          <w:tcPr>
            <w:tcW w:type="dxa" w:w="49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H. Évaluation externe indépendante (EGRA/EGMA, baseline + endline)</w:t>
            </w:r>
          </w:p>
        </w:tc>
        <w:tc>
          <w:tcPr>
            <w:tcW w:type="dxa" w:w="1900"/>
            <w:shd w:fill="F3F0E6" w:val="clear"/>
            <w:tcMar>
              <w:top w:type="dxa" w:w="80"/>
              <w:left w:type="dxa" w:w="110"/>
              <w:bottom w:type="dxa" w:w="80"/>
              <w:right w:type="dxa" w:w="110"/>
            </w:tcMar>
            <w:vAlign w:val="center"/>
          </w:tcPr>
          <w:p>
            <w:pPr>
              <w:spacing w:after="0" w:line="252"/>
              <w:jc w:val="right"/>
            </w:pPr>
            <w:r>
              <w:rPr>
                <w:rFonts w:ascii="Calibri" w:cs="Calibri" w:eastAsia="Calibri" w:hAnsi="Calibri"/>
                <w:b w:val="false"/>
                <w:bCs w:val="false"/>
                <w:color w:val="262626"/>
                <w:sz w:val="19"/>
                <w:szCs w:val="19"/>
              </w:rPr>
              <w:t xml:space="preserve">15 000 000</w:t>
            </w:r>
          </w:p>
        </w:tc>
        <w:tc>
          <w:tcPr>
            <w:tcW w:type="dxa" w:w="22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Cabinet ou université partenaire</w:t>
            </w:r>
          </w:p>
        </w:tc>
      </w:tr>
      <w:tr>
        <w:tc>
          <w:tcPr>
            <w:tcW w:type="dxa" w:w="49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I. Plateforme de parrainage, communication, reporting bailleurs</w:t>
            </w:r>
          </w:p>
        </w:tc>
        <w:tc>
          <w:tcPr>
            <w:tcW w:type="dxa" w:w="1900"/>
            <w:tcMar>
              <w:top w:type="dxa" w:w="80"/>
              <w:left w:type="dxa" w:w="110"/>
              <w:bottom w:type="dxa" w:w="80"/>
              <w:right w:type="dxa" w:w="110"/>
            </w:tcMar>
            <w:vAlign w:val="center"/>
          </w:tcPr>
          <w:p>
            <w:pPr>
              <w:spacing w:after="0" w:line="252"/>
              <w:jc w:val="right"/>
            </w:pPr>
            <w:r>
              <w:rPr>
                <w:rFonts w:ascii="Calibri" w:cs="Calibri" w:eastAsia="Calibri" w:hAnsi="Calibri"/>
                <w:b w:val="false"/>
                <w:bCs w:val="false"/>
                <w:color w:val="262626"/>
                <w:sz w:val="19"/>
                <w:szCs w:val="19"/>
              </w:rPr>
              <w:t xml:space="preserve">8 000 000</w:t>
            </w:r>
          </w:p>
        </w:tc>
        <w:tc>
          <w:tcPr>
            <w:tcW w:type="dxa" w:w="22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
            </w:r>
          </w:p>
        </w:tc>
      </w:tr>
      <w:tr>
        <w:tc>
          <w:tcPr>
            <w:tcW w:type="dxa" w:w="49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J. Imprévus (≈ 8 %)</w:t>
            </w:r>
          </w:p>
        </w:tc>
        <w:tc>
          <w:tcPr>
            <w:tcW w:type="dxa" w:w="1900"/>
            <w:shd w:fill="F3F0E6" w:val="clear"/>
            <w:tcMar>
              <w:top w:type="dxa" w:w="80"/>
              <w:left w:type="dxa" w:w="110"/>
              <w:bottom w:type="dxa" w:w="80"/>
              <w:right w:type="dxa" w:w="110"/>
            </w:tcMar>
            <w:vAlign w:val="center"/>
          </w:tcPr>
          <w:p>
            <w:pPr>
              <w:spacing w:after="0" w:line="252"/>
              <w:jc w:val="right"/>
            </w:pPr>
            <w:r>
              <w:rPr>
                <w:rFonts w:ascii="Calibri" w:cs="Calibri" w:eastAsia="Calibri" w:hAnsi="Calibri"/>
                <w:b w:val="false"/>
                <w:bCs w:val="false"/>
                <w:color w:val="262626"/>
                <w:sz w:val="19"/>
                <w:szCs w:val="19"/>
              </w:rPr>
              <w:t xml:space="preserve">12 500 000</w:t>
            </w:r>
          </w:p>
        </w:tc>
        <w:tc>
          <w:tcPr>
            <w:tcW w:type="dxa" w:w="22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
            </w:r>
          </w:p>
        </w:tc>
      </w:tr>
      <w:tr>
        <w:tc>
          <w:tcPr>
            <w:tcW w:type="dxa" w:w="4900"/>
            <w:shd w:fill="EDE4D3" w:val="clear"/>
            <w:tcMar>
              <w:top w:type="dxa" w:w="80"/>
              <w:left w:type="dxa" w:w="110"/>
              <w:bottom w:type="dxa" w:w="80"/>
              <w:right w:type="dxa" w:w="110"/>
            </w:tcMar>
            <w:vAlign w:val="center"/>
          </w:tcPr>
          <w:p>
            <w:pPr>
              <w:spacing w:after="0"/>
            </w:pPr>
            <w:r>
              <w:rPr>
                <w:rFonts w:ascii="Calibri" w:cs="Calibri" w:eastAsia="Calibri" w:hAnsi="Calibri"/>
                <w:b/>
                <w:bCs/>
                <w:color w:val="1F4E79"/>
                <w:sz w:val="20"/>
                <w:szCs w:val="20"/>
              </w:rPr>
              <w:t xml:space="preserve">TOTAL</w:t>
            </w:r>
          </w:p>
        </w:tc>
        <w:tc>
          <w:tcPr>
            <w:tcW w:type="dxa" w:w="1900"/>
            <w:shd w:fill="EDE4D3" w:val="clear"/>
            <w:tcMar>
              <w:top w:type="dxa" w:w="80"/>
              <w:left w:type="dxa" w:w="110"/>
              <w:bottom w:type="dxa" w:w="80"/>
              <w:right w:type="dxa" w:w="110"/>
            </w:tcMar>
            <w:vAlign w:val="center"/>
          </w:tcPr>
          <w:p>
            <w:pPr>
              <w:spacing w:after="0"/>
              <w:jc w:val="right"/>
            </w:pPr>
            <w:r>
              <w:rPr>
                <w:rFonts w:ascii="Calibri" w:cs="Calibri" w:eastAsia="Calibri" w:hAnsi="Calibri"/>
                <w:b/>
                <w:bCs/>
                <w:color w:val="1F4E79"/>
                <w:sz w:val="20"/>
                <w:szCs w:val="20"/>
              </w:rPr>
              <w:t xml:space="preserve">173 000 000</w:t>
            </w:r>
          </w:p>
        </w:tc>
        <w:tc>
          <w:tcPr>
            <w:tcW w:type="dxa" w:w="2226"/>
            <w:shd w:fill="EDE4D3" w:val="clear"/>
            <w:tcMar>
              <w:top w:type="dxa" w:w="80"/>
              <w:left w:type="dxa" w:w="110"/>
              <w:bottom w:type="dxa" w:w="80"/>
              <w:right w:type="dxa" w:w="110"/>
            </w:tcMar>
            <w:vAlign w:val="center"/>
          </w:tcPr>
          <w:p>
            <w:pPr>
              <w:spacing w:after="0"/>
            </w:pPr>
            <w:r>
              <w:rPr>
                <w:rFonts w:ascii="Calibri" w:cs="Calibri" w:eastAsia="Calibri" w:hAnsi="Calibri"/>
                <w:b/>
                <w:bCs/>
                <w:color w:val="1F4E79"/>
                <w:sz w:val="20"/>
                <w:szCs w:val="20"/>
              </w:rPr>
              <w:t xml:space="preserve">≈ 264 000 €</w:t>
            </w:r>
          </w:p>
        </w:tc>
      </w:tr>
    </w:tbl>
    <w:p>
      <w:pPr>
        <w:spacing w:after="160"/>
      </w:pPr>
    </w:p>
    <w:p>
      <w:pPr>
        <w:pStyle w:val="Heading2"/>
        <w:spacing w:after="140" w:before="240"/>
      </w:pPr>
      <w:r>
        <w:rPr>
          <w:rFonts w:ascii="Calibri" w:cs="Calibri" w:eastAsia="Calibri" w:hAnsi="Calibri"/>
          <w:b/>
          <w:bCs/>
          <w:color w:val="E8482B"/>
          <w:sz w:val="25"/>
          <w:szCs w:val="25"/>
        </w:rPr>
        <w:t xml:space="preserve">Lecture économique</w:t>
      </w:r>
    </w:p>
    <w:p>
      <w:pPr>
        <w:pStyle w:val="ListParagraph"/>
        <w:numPr>
          <w:ilvl w:val="0"/>
          <w:numId w:val="2"/>
        </w:numPr>
        <w:spacing w:after="100" w:line="276"/>
        <w:jc w:val="both"/>
      </w:pPr>
      <w:r>
        <w:rPr>
          <w:rFonts w:ascii="Calibri" w:cs="Calibri" w:eastAsia="Calibri" w:hAnsi="Calibri"/>
          <w:b/>
          <w:bCs/>
          <w:color w:val="262626"/>
          <w:sz w:val="22"/>
          <w:szCs w:val="22"/>
        </w:rPr>
        <w:t xml:space="preserve">Coût complet : </w:t>
      </w:r>
      <w:r>
        <w:rPr>
          <w:rFonts w:ascii="Calibri" w:cs="Calibri" w:eastAsia="Calibri" w:hAnsi="Calibri"/>
          <w:color w:val="262626"/>
          <w:sz w:val="22"/>
          <w:szCs w:val="22"/>
        </w:rPr>
        <w:t xml:space="preserve">346 000 FCFA par enfant (≈ 527 €), incluant la totalité de l'investissement produit et contenu.</w:t>
      </w:r>
    </w:p>
    <w:p>
      <w:pPr>
        <w:pStyle w:val="ListParagraph"/>
        <w:numPr>
          <w:ilvl w:val="0"/>
          <w:numId w:val="2"/>
        </w:numPr>
        <w:spacing w:after="100" w:line="276"/>
        <w:jc w:val="both"/>
      </w:pPr>
      <w:r>
        <w:rPr>
          <w:rFonts w:ascii="Calibri" w:cs="Calibri" w:eastAsia="Calibri" w:hAnsi="Calibri"/>
          <w:b/>
          <w:bCs/>
          <w:color w:val="262626"/>
          <w:sz w:val="22"/>
          <w:szCs w:val="22"/>
        </w:rPr>
        <w:t xml:space="preserve">Coût opérationnel (hors postes A et B) : </w:t>
      </w:r>
      <w:r>
        <w:rPr>
          <w:rFonts w:ascii="Calibri" w:cs="Calibri" w:eastAsia="Calibri" w:hAnsi="Calibri"/>
          <w:color w:val="262626"/>
          <w:sz w:val="22"/>
          <w:szCs w:val="22"/>
        </w:rPr>
        <w:t xml:space="preserve">environ 206 000 FCFA par enfant (≈ 314 €), comparable aux programmes d'éducation accélérée de référence.</w:t>
      </w:r>
    </w:p>
    <w:p>
      <w:pPr>
        <w:pStyle w:val="ListParagraph"/>
        <w:numPr>
          <w:ilvl w:val="0"/>
          <w:numId w:val="2"/>
        </w:numPr>
        <w:spacing w:after="100" w:line="276"/>
        <w:jc w:val="both"/>
      </w:pPr>
      <w:r>
        <w:rPr>
          <w:rFonts w:ascii="Calibri" w:cs="Calibri" w:eastAsia="Calibri" w:hAnsi="Calibri"/>
          <w:b/>
          <w:bCs/>
          <w:color w:val="262626"/>
          <w:sz w:val="22"/>
          <w:szCs w:val="22"/>
        </w:rPr>
        <w:t xml:space="preserve">Effet d'échelle : </w:t>
      </w:r>
      <w:r>
        <w:rPr>
          <w:rFonts w:ascii="Calibri" w:cs="Calibri" w:eastAsia="Calibri" w:hAnsi="Calibri"/>
          <w:color w:val="262626"/>
          <w:sz w:val="22"/>
          <w:szCs w:val="22"/>
        </w:rPr>
        <w:t xml:space="preserve">le produit et le contenu étant des coûts fixes, le coût marginal par enfant supplémentaire chute fortement dès l'année 2 (estimation : moins de 60 000 FCFA/enfant/an à 5 000 enfants), soit un des meilleurs ratios impact/coût du secteur.</w:t>
      </w:r>
    </w:p>
    <w:p>
      <w:pPr>
        <w:pStyle w:val="ListParagraph"/>
        <w:numPr>
          <w:ilvl w:val="0"/>
          <w:numId w:val="2"/>
        </w:numPr>
        <w:spacing w:after="100" w:line="276"/>
        <w:jc w:val="both"/>
      </w:pPr>
      <w:r>
        <w:rPr>
          <w:rFonts w:ascii="Calibri" w:cs="Calibri" w:eastAsia="Calibri" w:hAnsi="Calibri"/>
          <w:b/>
          <w:bCs/>
          <w:color w:val="262626"/>
          <w:sz w:val="22"/>
          <w:szCs w:val="22"/>
        </w:rPr>
        <w:t xml:space="preserve">Unité de parrainage : </w:t>
      </w:r>
      <w:r>
        <w:rPr>
          <w:rFonts w:ascii="Calibri" w:cs="Calibri" w:eastAsia="Calibri" w:hAnsi="Calibri"/>
          <w:color w:val="262626"/>
          <w:sz w:val="22"/>
          <w:szCs w:val="22"/>
        </w:rPr>
        <w:t xml:space="preserve">un cercle complet (10 enfants, 12 mois) se parraine à environ 2 millions FCFA (≈ 3 000 €) en coût opérationnel — un ticket lisible pour une PME, une association de diaspora ou un programme RSE.</w:t>
      </w:r>
    </w:p>
    <w:p>
      <w:r>
        <w:br w:type="page"/>
      </w:r>
    </w:p>
    <w:p>
      <w:pPr>
        <w:pStyle w:val="Heading1"/>
        <w:spacing w:after="200" w:before="360"/>
      </w:pPr>
      <w:r>
        <w:rPr>
          <w:rFonts w:ascii="Calibri" w:cs="Calibri" w:eastAsia="Calibri" w:hAnsi="Calibri"/>
          <w:b/>
          <w:bCs/>
          <w:color w:val="2E3D96"/>
          <w:sz w:val="30"/>
          <w:szCs w:val="30"/>
        </w:rPr>
        <w:t xml:space="preserve">7. Modèle de financement : le parrainage transparent</w:t>
      </w:r>
    </w:p>
    <w:p>
      <w:pPr>
        <w:spacing w:after="160" w:line="276"/>
        <w:jc w:val="both"/>
      </w:pPr>
      <w:r>
        <w:rPr>
          <w:rFonts w:ascii="Calibri" w:cs="Calibri" w:eastAsia="Calibri" w:hAnsi="Calibri"/>
          <w:color w:val="262626"/>
          <w:sz w:val="22"/>
          <w:szCs w:val="22"/>
        </w:rPr>
        <w:t xml:space="preserve">Le principe tient en une phrase : chaque franc donné est relié à un enfant réel et à un progrès réel. Celui qui donne dispose d'un </w:t>
      </w:r>
      <w:r>
        <w:rPr>
          <w:rFonts w:ascii="Calibri" w:cs="Calibri" w:eastAsia="Calibri" w:hAnsi="Calibri"/>
          <w:b/>
          <w:bCs/>
          <w:color w:val="262626"/>
          <w:sz w:val="22"/>
          <w:szCs w:val="22"/>
        </w:rPr>
        <w:t xml:space="preserve">tableau de bord d'impact</w:t>
      </w:r>
      <w:r>
        <w:rPr>
          <w:rFonts w:ascii="Calibri" w:cs="Calibri" w:eastAsia="Calibri" w:hAnsi="Calibri"/>
          <w:color w:val="262626"/>
          <w:sz w:val="22"/>
          <w:szCs w:val="22"/>
        </w:rPr>
        <w:t xml:space="preserve"> qui raconte, sans enjoliver : les leçons terminées, les compétences validées, l'assiduité, les résultats aux évaluations indépendantes. Aucune photo, aucune donnée sensible — un prénom, un avatar, des acquis. Quand Awa lit sa première phrase, son parrain le sait le jour même.</w:t>
      </w:r>
    </w:p>
    <w:p>
      <w:pPr>
        <w:pStyle w:val="ListParagraph"/>
        <w:numPr>
          <w:ilvl w:val="0"/>
          <w:numId w:val="2"/>
        </w:numPr>
        <w:spacing w:after="100" w:line="276"/>
        <w:jc w:val="both"/>
      </w:pPr>
      <w:r>
        <w:rPr>
          <w:rFonts w:ascii="Calibri" w:cs="Calibri" w:eastAsia="Calibri" w:hAnsi="Calibri"/>
          <w:b/>
          <w:bCs/>
          <w:color w:val="262626"/>
          <w:sz w:val="22"/>
          <w:szCs w:val="22"/>
        </w:rPr>
        <w:t xml:space="preserve">Parrainage individuel (diaspora, particuliers) : </w:t>
      </w:r>
      <w:r>
        <w:rPr>
          <w:rFonts w:ascii="Calibri" w:cs="Calibri" w:eastAsia="Calibri" w:hAnsi="Calibri"/>
          <w:color w:val="262626"/>
          <w:sz w:val="22"/>
          <w:szCs w:val="22"/>
        </w:rPr>
        <w:t xml:space="preserve">à partir de 10 000 FCFA/mois (≈ 15 €), avec notification vocale ou écrite des paliers franchis (« Awa a lu son premier mot »).</w:t>
      </w:r>
    </w:p>
    <w:p>
      <w:pPr>
        <w:pStyle w:val="ListParagraph"/>
        <w:numPr>
          <w:ilvl w:val="0"/>
          <w:numId w:val="2"/>
        </w:numPr>
        <w:spacing w:after="100" w:line="276"/>
        <w:jc w:val="both"/>
      </w:pPr>
      <w:r>
        <w:rPr>
          <w:rFonts w:ascii="Calibri" w:cs="Calibri" w:eastAsia="Calibri" w:hAnsi="Calibri"/>
          <w:b/>
          <w:bCs/>
          <w:color w:val="262626"/>
          <w:sz w:val="22"/>
          <w:szCs w:val="22"/>
        </w:rPr>
        <w:t xml:space="preserve">Parrainage de cercle (entreprises, associations) : </w:t>
      </w:r>
      <w:r>
        <w:rPr>
          <w:rFonts w:ascii="Calibri" w:cs="Calibri" w:eastAsia="Calibri" w:hAnsi="Calibri"/>
          <w:color w:val="262626"/>
          <w:sz w:val="22"/>
          <w:szCs w:val="22"/>
        </w:rPr>
        <w:t xml:space="preserve">≈ 2 M FCFA/an, avec rapport d'impact semestriel et possibilité de visite de terrain encadrée.</w:t>
      </w:r>
    </w:p>
    <w:p>
      <w:pPr>
        <w:pStyle w:val="ListParagraph"/>
        <w:numPr>
          <w:ilvl w:val="0"/>
          <w:numId w:val="2"/>
        </w:numPr>
        <w:spacing w:after="100" w:line="276"/>
        <w:jc w:val="both"/>
      </w:pPr>
      <w:r>
        <w:rPr>
          <w:rFonts w:ascii="Calibri" w:cs="Calibri" w:eastAsia="Calibri" w:hAnsi="Calibri"/>
          <w:b/>
          <w:bCs/>
          <w:color w:val="262626"/>
          <w:sz w:val="22"/>
          <w:szCs w:val="22"/>
        </w:rPr>
        <w:t xml:space="preserve">Subventions institutionnelles (fondations, bailleurs) : </w:t>
      </w:r>
      <w:r>
        <w:rPr>
          <w:rFonts w:ascii="Calibri" w:cs="Calibri" w:eastAsia="Calibri" w:hAnsi="Calibri"/>
          <w:color w:val="262626"/>
          <w:sz w:val="22"/>
          <w:szCs w:val="22"/>
        </w:rPr>
        <w:t xml:space="preserve">financement du socle (produit, contenu, évaluation) et du passage à l'échelle, avec redevabilité par les données EGRA et audit externe.</w:t>
      </w:r>
    </w:p>
    <w:p>
      <w:pPr>
        <w:pStyle w:val="ListParagraph"/>
        <w:numPr>
          <w:ilvl w:val="0"/>
          <w:numId w:val="2"/>
        </w:numPr>
        <w:spacing w:after="100" w:line="276"/>
        <w:jc w:val="both"/>
      </w:pPr>
      <w:r>
        <w:rPr>
          <w:rFonts w:ascii="Calibri" w:cs="Calibri" w:eastAsia="Calibri" w:hAnsi="Calibri"/>
          <w:b/>
          <w:bCs/>
          <w:color w:val="262626"/>
          <w:sz w:val="22"/>
          <w:szCs w:val="22"/>
        </w:rPr>
        <w:t xml:space="preserve">Contributions en nature : </w:t>
      </w:r>
      <w:r>
        <w:rPr>
          <w:rFonts w:ascii="Calibri" w:cs="Calibri" w:eastAsia="Calibri" w:hAnsi="Calibri"/>
          <w:color w:val="262626"/>
          <w:sz w:val="22"/>
          <w:szCs w:val="22"/>
        </w:rPr>
        <w:t xml:space="preserve">zero-rating de l'application par les opérateurs (Orange, MTN, Moov), dons d'appareils, voix off bénévoles de personnalités.</w:t>
      </w:r>
    </w:p>
    <w:p>
      <w:pPr>
        <w:spacing w:after="160" w:line="276"/>
        <w:jc w:val="both"/>
      </w:pPr>
      <w:r>
        <w:rPr>
          <w:rFonts w:ascii="Calibri" w:cs="Calibri" w:eastAsia="Calibri" w:hAnsi="Calibri"/>
          <w:b/>
          <w:bCs/>
          <w:color w:val="262626"/>
          <w:sz w:val="22"/>
          <w:szCs w:val="22"/>
        </w:rPr>
        <w:t xml:space="preserve">Structure juridique recommandée : </w:t>
      </w:r>
      <w:r>
        <w:rPr>
          <w:rFonts w:ascii="Calibri" w:cs="Calibri" w:eastAsia="Calibri" w:hAnsi="Calibri"/>
          <w:color w:val="262626"/>
          <w:sz w:val="22"/>
          <w:szCs w:val="22"/>
        </w:rPr>
        <w:t xml:space="preserve">une structure duale — une association/fondation ivoirienne porteuse du programme (éligible aux financements philanthropiques et aux conventions avec l'État) et une entité technologique détenant la plateforme (pouvant à terme licencier la technologie à d'autres pays ou programmes). Cette architecture protège la mission tout en préservant la capacité d'investissement dans le produit.</w:t>
      </w:r>
    </w:p>
    <w:p>
      <w:r>
        <w:br w:type="page"/>
      </w:r>
    </w:p>
    <w:p>
      <w:pPr>
        <w:pStyle w:val="Heading1"/>
        <w:spacing w:after="200" w:before="360"/>
      </w:pPr>
      <w:r>
        <w:rPr>
          <w:rFonts w:ascii="Calibri" w:cs="Calibri" w:eastAsia="Calibri" w:hAnsi="Calibri"/>
          <w:b/>
          <w:bCs/>
          <w:color w:val="2E3D96"/>
          <w:sz w:val="30"/>
          <w:szCs w:val="30"/>
        </w:rPr>
        <w:t xml:space="preserve">8. Cartographie des bailleurs et partenaires</w:t>
      </w:r>
    </w:p>
    <w:p>
      <w:pPr>
        <w:pStyle w:val="Heading2"/>
        <w:spacing w:after="140" w:before="240"/>
      </w:pPr>
      <w:r>
        <w:rPr>
          <w:rFonts w:ascii="Calibri" w:cs="Calibri" w:eastAsia="Calibri" w:hAnsi="Calibri"/>
          <w:b/>
          <w:bCs/>
          <w:color w:val="E8482B"/>
          <w:sz w:val="25"/>
          <w:szCs w:val="25"/>
        </w:rPr>
        <w:t xml:space="preserve">8.1 Bailleurs spécialisés « enfants non scolarisés » (priorité 1)</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3800"/>
        <w:gridCol w:w="1400"/>
        <w:gridCol w:w="1626"/>
      </w:tblGrid>
      <w:tr>
        <w:trPr>
          <w:tblHeader/>
        </w:trPr>
        <w:tc>
          <w:tcPr>
            <w:tcW w:type="dxa" w:w="2200"/>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Bailleur / partenaire</w:t>
            </w:r>
          </w:p>
        </w:tc>
        <w:tc>
          <w:tcPr>
            <w:tcW w:type="dxa" w:w="3800"/>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Profil et pertinence pour KAMISSA</w:t>
            </w:r>
          </w:p>
        </w:tc>
        <w:tc>
          <w:tcPr>
            <w:tcW w:type="dxa" w:w="1400"/>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Ticket indicatif</w:t>
            </w:r>
          </w:p>
        </w:tc>
        <w:tc>
          <w:tcPr>
            <w:tcW w:type="dxa" w:w="1626"/>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Porte d'entrée</w:t>
            </w:r>
          </w:p>
        </w:tc>
      </w:tr>
      <w:tr>
        <w:tc>
          <w:tcPr>
            <w:tcW w:type="dxa" w:w="22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Educate A Child (EAA, Qatar)</w:t>
            </w:r>
          </w:p>
        </w:tc>
        <w:tc>
          <w:tcPr>
            <w:tcW w:type="dxa" w:w="38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Programme mondial exclusivement dédié aux enfants non scolarisés du primaire ; finance via des partenaires opérationnels avec cofinancement.</w:t>
            </w:r>
          </w:p>
        </w:tc>
        <w:tc>
          <w:tcPr>
            <w:tcW w:type="dxa" w:w="14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500 K€ +</w:t>
            </w:r>
          </w:p>
        </w:tc>
        <w:tc>
          <w:tcPr>
            <w:tcW w:type="dxa" w:w="16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Candidature via partenariat avec une ONG opératrice établie.</w:t>
            </w:r>
          </w:p>
        </w:tc>
      </w:tr>
      <w:tr>
        <w:tc>
          <w:tcPr>
            <w:tcW w:type="dxa" w:w="22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Luminos Fund</w:t>
            </w:r>
          </w:p>
        </w:tc>
        <w:tc>
          <w:tcPr>
            <w:tcW w:type="dxa" w:w="38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Spécialiste de l'éducation accélérée pour enfants déscolarisés, déjà actif en Afrique de l'Ouest (Liberia, Ghana) ; forte culture de la mesure.</w:t>
            </w:r>
          </w:p>
        </w:tc>
        <w:tc>
          <w:tcPr>
            <w:tcW w:type="dxa" w:w="14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100-500 K€</w:t>
            </w:r>
          </w:p>
        </w:tc>
        <w:tc>
          <w:tcPr>
            <w:tcW w:type="dxa" w:w="16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Approche directe avec les résultats du pilote.</w:t>
            </w:r>
          </w:p>
        </w:tc>
      </w:tr>
      <w:tr>
        <w:tc>
          <w:tcPr>
            <w:tcW w:type="dxa" w:w="22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Education Cannot Wait (ECW)</w:t>
            </w:r>
          </w:p>
        </w:tc>
        <w:tc>
          <w:tcPr>
            <w:tcW w:type="dxa" w:w="38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Fonds mondial pour l'éducation en situations de crise ; pertinent pour les enfants déplacés du Sahel accueillis en Côte d'Ivoire.</w:t>
            </w:r>
          </w:p>
        </w:tc>
        <w:tc>
          <w:tcPr>
            <w:tcW w:type="dxa" w:w="14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250 K€ +</w:t>
            </w:r>
          </w:p>
        </w:tc>
        <w:tc>
          <w:tcPr>
            <w:tcW w:type="dxa" w:w="16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Via consortium avec agences ONU / ONG.</w:t>
            </w:r>
          </w:p>
        </w:tc>
      </w:tr>
      <w:tr>
        <w:tc>
          <w:tcPr>
            <w:tcW w:type="dxa" w:w="22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Fondation Jacobs</w:t>
            </w:r>
          </w:p>
        </w:tc>
        <w:tc>
          <w:tcPr>
            <w:tcW w:type="dxa" w:w="38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Bailleur de référence de l'éducation fondée sur les preuves en Côte d'Ivoire (programme TRECC dans les communautés cacaoyères) ; affinité forte avec l'approche scientifique de KAMISSA.</w:t>
            </w:r>
          </w:p>
        </w:tc>
        <w:tc>
          <w:tcPr>
            <w:tcW w:type="dxa" w:w="14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100-500 K€</w:t>
            </w:r>
          </w:p>
        </w:tc>
        <w:tc>
          <w:tcPr>
            <w:tcW w:type="dxa" w:w="16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Réseau TRECC / bureau Abidjan ; dossier centré sur l'évidence.</w:t>
            </w:r>
          </w:p>
        </w:tc>
      </w:tr>
    </w:tbl>
    <w:p>
      <w:pPr>
        <w:spacing w:after="120"/>
      </w:pPr>
    </w:p>
    <w:p>
      <w:pPr>
        <w:pStyle w:val="Heading2"/>
        <w:spacing w:after="140" w:before="240"/>
      </w:pPr>
      <w:r>
        <w:rPr>
          <w:rFonts w:ascii="Calibri" w:cs="Calibri" w:eastAsia="Calibri" w:hAnsi="Calibri"/>
          <w:b/>
          <w:bCs/>
          <w:color w:val="E8482B"/>
          <w:sz w:val="25"/>
          <w:szCs w:val="25"/>
        </w:rPr>
        <w:t xml:space="preserve">8.2 Bailleurs institutionnels et multilatéraux</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3800"/>
        <w:gridCol w:w="1400"/>
        <w:gridCol w:w="1626"/>
      </w:tblGrid>
      <w:tr>
        <w:trPr>
          <w:tblHeader/>
        </w:trPr>
        <w:tc>
          <w:tcPr>
            <w:tcW w:type="dxa" w:w="2200"/>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Bailleur / partenaire</w:t>
            </w:r>
          </w:p>
        </w:tc>
        <w:tc>
          <w:tcPr>
            <w:tcW w:type="dxa" w:w="3800"/>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Profil et pertinence pour KAMISSA</w:t>
            </w:r>
          </w:p>
        </w:tc>
        <w:tc>
          <w:tcPr>
            <w:tcW w:type="dxa" w:w="1400"/>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Ticket indicatif</w:t>
            </w:r>
          </w:p>
        </w:tc>
        <w:tc>
          <w:tcPr>
            <w:tcW w:type="dxa" w:w="1626"/>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Porte d'entrée</w:t>
            </w:r>
          </w:p>
        </w:tc>
      </w:tr>
      <w:tr>
        <w:tc>
          <w:tcPr>
            <w:tcW w:type="dxa" w:w="22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AFD / Expertise France</w:t>
            </w:r>
          </w:p>
        </w:tc>
        <w:tc>
          <w:tcPr>
            <w:tcW w:type="dxa" w:w="38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Priorité éducation et numérique en Afrique francophone ; guichets innovation et société civile.</w:t>
            </w:r>
          </w:p>
        </w:tc>
        <w:tc>
          <w:tcPr>
            <w:tcW w:type="dxa" w:w="14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100-500 K€</w:t>
            </w:r>
          </w:p>
        </w:tc>
        <w:tc>
          <w:tcPr>
            <w:tcW w:type="dxa" w:w="16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Agence AFD Abidjan ; appels à projets OSC.</w:t>
            </w:r>
          </w:p>
        </w:tc>
      </w:tr>
      <w:tr>
        <w:tc>
          <w:tcPr>
            <w:tcW w:type="dxa" w:w="22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Partenariat mondial pour l'éducation (GPE-KIX)</w:t>
            </w:r>
          </w:p>
        </w:tc>
        <w:tc>
          <w:tcPr>
            <w:tcW w:type="dxa" w:w="38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Guichet innovation et partage de connaissances ; valorise les solutions à fort potentiel d'échelle alignées sur les plans sectoriels nationaux.</w:t>
            </w:r>
          </w:p>
        </w:tc>
        <w:tc>
          <w:tcPr>
            <w:tcW w:type="dxa" w:w="14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100-300 K€</w:t>
            </w:r>
          </w:p>
        </w:tc>
        <w:tc>
          <w:tcPr>
            <w:tcW w:type="dxa" w:w="16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Candidature KIX Afrique 21.</w:t>
            </w:r>
          </w:p>
        </w:tc>
      </w:tr>
      <w:tr>
        <w:tc>
          <w:tcPr>
            <w:tcW w:type="dxa" w:w="22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UNICEF Côte d'Ivoire</w:t>
            </w:r>
          </w:p>
        </w:tc>
        <w:tc>
          <w:tcPr>
            <w:tcW w:type="dxa" w:w="38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Mandat direct sur les enfants exclus de l'école ; peut apporter caution institutionnelle, accès terrain et cofinancement.</w:t>
            </w:r>
          </w:p>
        </w:tc>
        <w:tc>
          <w:tcPr>
            <w:tcW w:type="dxa" w:w="14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En nature + financement</w:t>
            </w:r>
          </w:p>
        </w:tc>
        <w:tc>
          <w:tcPr>
            <w:tcW w:type="dxa" w:w="16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Bureau pays, section Éducation.</w:t>
            </w:r>
          </w:p>
        </w:tc>
      </w:tr>
      <w:tr>
        <w:tc>
          <w:tcPr>
            <w:tcW w:type="dxa" w:w="22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Mastercard Foundation</w:t>
            </w:r>
          </w:p>
        </w:tc>
        <w:tc>
          <w:tcPr>
            <w:tcW w:type="dxa" w:w="38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Programme Young Africa Works en Côte d'Ivoire ; intérêt pour les fondamentaux comme prérequis à l'employabilité des jeunes.</w:t>
            </w:r>
          </w:p>
        </w:tc>
        <w:tc>
          <w:tcPr>
            <w:tcW w:type="dxa" w:w="14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500 K€ +</w:t>
            </w:r>
          </w:p>
        </w:tc>
        <w:tc>
          <w:tcPr>
            <w:tcW w:type="dxa" w:w="16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Bureau régional ; positionnement « socle de compétences ».</w:t>
            </w:r>
          </w:p>
        </w:tc>
      </w:tr>
    </w:tbl>
    <w:p>
      <w:pPr>
        <w:spacing w:after="120"/>
      </w:pPr>
    </w:p>
    <w:p>
      <w:pPr>
        <w:pStyle w:val="Heading2"/>
        <w:spacing w:after="140" w:before="240"/>
      </w:pPr>
      <w:r>
        <w:rPr>
          <w:rFonts w:ascii="Calibri" w:cs="Calibri" w:eastAsia="Calibri" w:hAnsi="Calibri"/>
          <w:b/>
          <w:bCs/>
          <w:color w:val="E8482B"/>
          <w:sz w:val="25"/>
          <w:szCs w:val="25"/>
        </w:rPr>
        <w:t xml:space="preserve">8.3 Écosystème ivoirien et diaspora</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3800"/>
        <w:gridCol w:w="1400"/>
        <w:gridCol w:w="1626"/>
      </w:tblGrid>
      <w:tr>
        <w:trPr>
          <w:tblHeader/>
        </w:trPr>
        <w:tc>
          <w:tcPr>
            <w:tcW w:type="dxa" w:w="2200"/>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Bailleur / partenaire</w:t>
            </w:r>
          </w:p>
        </w:tc>
        <w:tc>
          <w:tcPr>
            <w:tcW w:type="dxa" w:w="3800"/>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Profil et pertinence pour KAMISSA</w:t>
            </w:r>
          </w:p>
        </w:tc>
        <w:tc>
          <w:tcPr>
            <w:tcW w:type="dxa" w:w="1400"/>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Ticket indicatif</w:t>
            </w:r>
          </w:p>
        </w:tc>
        <w:tc>
          <w:tcPr>
            <w:tcW w:type="dxa" w:w="1626"/>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Porte d'entrée</w:t>
            </w:r>
          </w:p>
        </w:tc>
      </w:tr>
      <w:tr>
        <w:tc>
          <w:tcPr>
            <w:tcW w:type="dxa" w:w="22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Fondation Children of Africa</w:t>
            </w:r>
          </w:p>
        </w:tc>
        <w:tc>
          <w:tcPr>
            <w:tcW w:type="dxa" w:w="38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Fondation de la Première Dame, dédiée à l'enfance (éducation, santé) ; caution nationale majeure et effet d'entraînement.</w:t>
            </w:r>
          </w:p>
        </w:tc>
        <w:tc>
          <w:tcPr>
            <w:tcW w:type="dxa" w:w="14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50-200 K€</w:t>
            </w:r>
          </w:p>
        </w:tc>
        <w:tc>
          <w:tcPr>
            <w:tcW w:type="dxa" w:w="16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Dossier institutionnel + relais protocolaire.</w:t>
            </w:r>
          </w:p>
        </w:tc>
      </w:tr>
      <w:tr>
        <w:tc>
          <w:tcPr>
            <w:tcW w:type="dxa" w:w="22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Fondation Orange CI / Fondation MTN CI</w:t>
            </w:r>
          </w:p>
        </w:tc>
        <w:tc>
          <w:tcPr>
            <w:tcW w:type="dxa" w:w="38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Programmes écoles numériques et inclusion ; partenaires naturels pour le zero-rating et les équipements.</w:t>
            </w:r>
          </w:p>
        </w:tc>
        <w:tc>
          <w:tcPr>
            <w:tcW w:type="dxa" w:w="14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En nature + 20-100 K€</w:t>
            </w:r>
          </w:p>
        </w:tc>
        <w:tc>
          <w:tcPr>
            <w:tcW w:type="dxa" w:w="16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Directions RSE ; proposition zero-rating.</w:t>
            </w:r>
          </w:p>
        </w:tc>
      </w:tr>
      <w:tr>
        <w:tc>
          <w:tcPr>
            <w:tcW w:type="dxa" w:w="22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Fondations et RSE bancaires (SGCI, Ecobank, NSIA…)</w:t>
            </w:r>
          </w:p>
        </w:tc>
        <w:tc>
          <w:tcPr>
            <w:tcW w:type="dxa" w:w="38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Budgets RSE éducation ; parrainage de cercles à ticket lisible (2 M FCFA/cercle).</w:t>
            </w:r>
          </w:p>
        </w:tc>
        <w:tc>
          <w:tcPr>
            <w:tcW w:type="dxa" w:w="14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10-50 K€</w:t>
            </w:r>
          </w:p>
        </w:tc>
        <w:tc>
          <w:tcPr>
            <w:tcW w:type="dxa" w:w="16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Réseau professionnel direct de PLEBIS.</w:t>
            </w:r>
          </w:p>
        </w:tc>
      </w:tr>
      <w:tr>
        <w:tc>
          <w:tcPr>
            <w:tcW w:type="dxa" w:w="22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Diaspora ivoirienne et ouest-africaine</w:t>
            </w:r>
          </w:p>
        </w:tc>
        <w:tc>
          <w:tcPr>
            <w:tcW w:type="dxa" w:w="38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Forte propension au don ciblé et vérifiable vers le pays d'origine ; le parrainage transparent répond exactement à leur exigence de traçabilité.</w:t>
            </w:r>
          </w:p>
        </w:tc>
        <w:tc>
          <w:tcPr>
            <w:tcW w:type="dxa" w:w="14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15 €/mois/enfant</w:t>
            </w:r>
          </w:p>
        </w:tc>
        <w:tc>
          <w:tcPr>
            <w:tcW w:type="dxa" w:w="16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Plateforme KAMISSA + associations de diaspora (France, USA, Canada).</w:t>
            </w:r>
          </w:p>
        </w:tc>
      </w:tr>
    </w:tbl>
    <w:p>
      <w:pPr>
        <w:spacing w:after="120"/>
      </w:pPr>
    </w:p>
    <w:p>
      <w:pPr>
        <w:spacing w:after="160" w:line="276"/>
        <w:jc w:val="both"/>
      </w:pPr>
      <w:r>
        <w:rPr>
          <w:rFonts w:ascii="Calibri" w:cs="Calibri" w:eastAsia="Calibri" w:hAnsi="Calibri"/>
          <w:b/>
          <w:bCs/>
          <w:color w:val="262626"/>
          <w:sz w:val="22"/>
          <w:szCs w:val="22"/>
        </w:rPr>
        <w:t xml:space="preserve">Séquence recommandée : </w:t>
      </w:r>
      <w:r>
        <w:rPr>
          <w:rFonts w:ascii="Calibri" w:cs="Calibri" w:eastAsia="Calibri" w:hAnsi="Calibri"/>
          <w:color w:val="262626"/>
          <w:sz w:val="22"/>
          <w:szCs w:val="22"/>
        </w:rPr>
        <w:t xml:space="preserve">(1) sécuriser 2-3 parrains ivoiriens « d'amorçage » (fondations d'entreprise, RSE) pour financer le MVP et les premiers cercles ; (2) livrer les premières données de progression sous 6 mois ; (3) approcher les bailleurs spécialisés (Jacobs, Luminos, EAA) avec des résultats préliminaires plutôt qu'un simple concept — le taux de succès en est démultiplié.</w:t>
      </w:r>
    </w:p>
    <w:p>
      <w:r>
        <w:br w:type="page"/>
      </w:r>
    </w:p>
    <w:p>
      <w:pPr>
        <w:pStyle w:val="Heading1"/>
        <w:spacing w:after="200" w:before="360"/>
      </w:pPr>
      <w:r>
        <w:rPr>
          <w:rFonts w:ascii="Calibri" w:cs="Calibri" w:eastAsia="Calibri" w:hAnsi="Calibri"/>
          <w:b/>
          <w:bCs/>
          <w:color w:val="2E3D96"/>
          <w:sz w:val="30"/>
          <w:szCs w:val="30"/>
        </w:rPr>
        <w:t xml:space="preserve">9. Risques et mesures d'atténuation</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500"/>
        <w:gridCol w:w="1300"/>
        <w:gridCol w:w="5226"/>
      </w:tblGrid>
      <w:tr>
        <w:trPr>
          <w:tblHeader/>
        </w:trPr>
        <w:tc>
          <w:tcPr>
            <w:tcW w:type="dxa" w:w="2500"/>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Risque</w:t>
            </w:r>
          </w:p>
        </w:tc>
        <w:tc>
          <w:tcPr>
            <w:tcW w:type="dxa" w:w="1300"/>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Niveau</w:t>
            </w:r>
          </w:p>
        </w:tc>
        <w:tc>
          <w:tcPr>
            <w:tcW w:type="dxa" w:w="5226"/>
            <w:shd w:fill="1F4E79" w:val="clear"/>
            <w:tcMar>
              <w:top w:type="dxa" w:w="80"/>
              <w:left w:type="dxa" w:w="110"/>
              <w:bottom w:type="dxa" w:w="80"/>
              <w:right w:type="dxa" w:w="110"/>
            </w:tcMar>
            <w:vAlign w:val="center"/>
          </w:tcPr>
          <w:p>
            <w:pPr>
              <w:spacing w:after="0" w:line="252"/>
              <w:jc w:val="left"/>
            </w:pPr>
            <w:r>
              <w:rPr>
                <w:rFonts w:ascii="Calibri" w:cs="Calibri" w:eastAsia="Calibri" w:hAnsi="Calibri"/>
                <w:b/>
                <w:bCs/>
                <w:color w:val="FFFFFF"/>
                <w:sz w:val="20"/>
                <w:szCs w:val="20"/>
              </w:rPr>
              <w:t xml:space="preserve">Atténuation</w:t>
            </w:r>
          </w:p>
        </w:tc>
      </w:tr>
      <w:tr>
        <w:tc>
          <w:tcPr>
            <w:tcW w:type="dxa" w:w="25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Abandon / assiduité faible des enfants</w:t>
            </w:r>
          </w:p>
        </w:tc>
        <w:tc>
          <w:tcPr>
            <w:tcW w:type="dxa" w:w="13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Élevé</w:t>
            </w:r>
          </w:p>
        </w:tc>
        <w:tc>
          <w:tcPr>
            <w:tcW w:type="dxa" w:w="52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Cercles physiques avec champion (pression sociale positive), gamification de la régularité, implication des familles par messages vocaux, indemnité champion liée à l'assiduité.</w:t>
            </w:r>
          </w:p>
        </w:tc>
      </w:tr>
      <w:tr>
        <w:tc>
          <w:tcPr>
            <w:tcW w:type="dxa" w:w="25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Indisponibilité du téléphone partagé</w:t>
            </w:r>
          </w:p>
        </w:tc>
        <w:tc>
          <w:tcPr>
            <w:tcW w:type="dxa" w:w="13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Moyen</w:t>
            </w:r>
          </w:p>
        </w:tc>
        <w:tc>
          <w:tcPr>
            <w:tcW w:type="dxa" w:w="52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60 appareils dédiés en dotation des cercles ; sessions programmées aux heures de disponibilité ; objectifs hebdomadaires plutôt que quotidiens.</w:t>
            </w:r>
          </w:p>
        </w:tc>
      </w:tr>
      <w:tr>
        <w:tc>
          <w:tcPr>
            <w:tcW w:type="dxa" w:w="25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Protection de l'enfance</w:t>
            </w:r>
          </w:p>
        </w:tc>
        <w:tc>
          <w:tcPr>
            <w:tcW w:type="dxa" w:w="13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Critique</w:t>
            </w:r>
          </w:p>
        </w:tc>
        <w:tc>
          <w:tcPr>
            <w:tcW w:type="dxa" w:w="52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Politique de sauvegarde formelle, vérification et formation des champions, lieux ouverts, données anonymisées, mécanisme de signalement, conformité ARTCI.</w:t>
            </w:r>
          </w:p>
        </w:tc>
      </w:tr>
      <w:tr>
        <w:tc>
          <w:tcPr>
            <w:tcW w:type="dxa" w:w="25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Résultats d'apprentissage insuffisants</w:t>
            </w:r>
          </w:p>
        </w:tc>
        <w:tc>
          <w:tcPr>
            <w:tcW w:type="dxa" w:w="13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Moyen</w:t>
            </w:r>
          </w:p>
        </w:tc>
        <w:tc>
          <w:tcPr>
            <w:tcW w:type="dxa" w:w="52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Pédagogie strictement alignée sur la science de la lecture, itérations produit mensuelles sur données d'usage, conseil pédagogique associant des spécialistes ivoiriens de l'alphabétisation.</w:t>
            </w:r>
          </w:p>
        </w:tc>
      </w:tr>
      <w:tr>
        <w:tc>
          <w:tcPr>
            <w:tcW w:type="dxa" w:w="25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Dépendance aux dons</w:t>
            </w:r>
          </w:p>
        </w:tc>
        <w:tc>
          <w:tcPr>
            <w:tcW w:type="dxa" w:w="13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Moyen</w:t>
            </w:r>
          </w:p>
        </w:tc>
        <w:tc>
          <w:tcPr>
            <w:tcW w:type="dxa" w:w="5226"/>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Diversification (fondations, RSE, diaspora, en nature), coût marginal décroissant, et à terme licence de la plateforme à des programmes publics ou d'autres pays.</w:t>
            </w:r>
          </w:p>
        </w:tc>
      </w:tr>
      <w:tr>
        <w:tc>
          <w:tcPr>
            <w:tcW w:type="dxa" w:w="2500"/>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Frictions institutionnelles</w:t>
            </w:r>
          </w:p>
        </w:tc>
        <w:tc>
          <w:tcPr>
            <w:tcW w:type="dxa" w:w="1300"/>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Moyen</w:t>
            </w:r>
          </w:p>
        </w:tc>
        <w:tc>
          <w:tcPr>
            <w:tcW w:type="dxa" w:w="5226"/>
            <w:shd w:fill="F3F0E6" w:val="clear"/>
            <w:tcMar>
              <w:top w:type="dxa" w:w="80"/>
              <w:left w:type="dxa" w:w="110"/>
              <w:bottom w:type="dxa" w:w="80"/>
              <w:right w:type="dxa" w:w="110"/>
            </w:tcMar>
            <w:vAlign w:val="center"/>
          </w:tcPr>
          <w:p>
            <w:pPr>
              <w:spacing w:after="0" w:line="252"/>
              <w:jc w:val="left"/>
            </w:pPr>
            <w:r>
              <w:rPr>
                <w:rFonts w:ascii="Calibri" w:cs="Calibri" w:eastAsia="Calibri" w:hAnsi="Calibri"/>
                <w:b w:val="false"/>
                <w:bCs w:val="false"/>
                <w:color w:val="262626"/>
                <w:sz w:val="19"/>
                <w:szCs w:val="19"/>
              </w:rPr>
              <w:t xml:space="preserve">Positionnement explicite de passerelle vers l'école formelle, convention avec le Ministère de l'Éducation Nationale et de l'Alphabétisation, alignement sur la Direction de l'alphabétisation et de l'éducation non formelle.</w:t>
            </w:r>
          </w:p>
        </w:tc>
      </w:tr>
    </w:tbl>
    <w:p>
      <w:r>
        <w:br w:type="page"/>
      </w:r>
    </w:p>
    <w:p>
      <w:pPr>
        <w:pStyle w:val="Heading1"/>
        <w:spacing w:after="200" w:before="360"/>
      </w:pPr>
      <w:r>
        <w:rPr>
          <w:rFonts w:ascii="Calibri" w:cs="Calibri" w:eastAsia="Calibri" w:hAnsi="Calibri"/>
          <w:b/>
          <w:bCs/>
          <w:color w:val="2E3D96"/>
          <w:sz w:val="30"/>
          <w:szCs w:val="30"/>
        </w:rPr>
        <w:t xml:space="preserve">10. Feuille de route et prochaines étapes</w:t>
      </w:r>
    </w:p>
    <w:p>
      <w:pPr>
        <w:pStyle w:val="ListParagraph"/>
        <w:numPr>
          <w:ilvl w:val="0"/>
          <w:numId w:val="2"/>
        </w:numPr>
        <w:spacing w:after="100" w:line="276"/>
        <w:jc w:val="both"/>
      </w:pPr>
      <w:r>
        <w:rPr>
          <w:rFonts w:ascii="Calibri" w:cs="Calibri" w:eastAsia="Calibri" w:hAnsi="Calibri"/>
          <w:b/>
          <w:bCs/>
          <w:color w:val="262626"/>
          <w:sz w:val="22"/>
          <w:szCs w:val="22"/>
        </w:rPr>
        <w:t xml:space="preserve">T3 2026 : </w:t>
      </w:r>
      <w:r>
        <w:rPr>
          <w:rFonts w:ascii="Calibri" w:cs="Calibri" w:eastAsia="Calibri" w:hAnsi="Calibri"/>
          <w:color w:val="262626"/>
          <w:sz w:val="22"/>
          <w:szCs w:val="22"/>
        </w:rPr>
        <w:t xml:space="preserve">constitution de la structure porteuse, note conceptuelle diffusée aux parrains d'amorçage ivoiriens, lettre d'intention du Ministère, spécifications détaillées du MVP.</w:t>
      </w:r>
    </w:p>
    <w:p>
      <w:pPr>
        <w:pStyle w:val="ListParagraph"/>
        <w:numPr>
          <w:ilvl w:val="0"/>
          <w:numId w:val="2"/>
        </w:numPr>
        <w:spacing w:after="100" w:line="276"/>
        <w:jc w:val="both"/>
      </w:pPr>
      <w:r>
        <w:rPr>
          <w:rFonts w:ascii="Calibri" w:cs="Calibri" w:eastAsia="Calibri" w:hAnsi="Calibri"/>
          <w:b/>
          <w:bCs/>
          <w:color w:val="262626"/>
          <w:sz w:val="22"/>
          <w:szCs w:val="22"/>
        </w:rPr>
        <w:t xml:space="preserve">T4 2026 : </w:t>
      </w:r>
      <w:r>
        <w:rPr>
          <w:rFonts w:ascii="Calibri" w:cs="Calibri" w:eastAsia="Calibri" w:hAnsi="Calibri"/>
          <w:color w:val="262626"/>
          <w:sz w:val="22"/>
          <w:szCs w:val="22"/>
        </w:rPr>
        <w:t xml:space="preserve">bouclage du financement d'amorçage (≥ 80 M FCFA), développement du MVP et du contenu niveau 1, sélection des sites et recrutement des champions.</w:t>
      </w:r>
    </w:p>
    <w:p>
      <w:pPr>
        <w:pStyle w:val="ListParagraph"/>
        <w:numPr>
          <w:ilvl w:val="0"/>
          <w:numId w:val="2"/>
        </w:numPr>
        <w:spacing w:after="100" w:line="276"/>
        <w:jc w:val="both"/>
      </w:pPr>
      <w:r>
        <w:rPr>
          <w:rFonts w:ascii="Calibri" w:cs="Calibri" w:eastAsia="Calibri" w:hAnsi="Calibri"/>
          <w:b/>
          <w:bCs/>
          <w:color w:val="262626"/>
          <w:sz w:val="22"/>
          <w:szCs w:val="22"/>
        </w:rPr>
        <w:t xml:space="preserve">T1 2027 : </w:t>
      </w:r>
      <w:r>
        <w:rPr>
          <w:rFonts w:ascii="Calibri" w:cs="Calibri" w:eastAsia="Calibri" w:hAnsi="Calibri"/>
          <w:color w:val="262626"/>
          <w:sz w:val="22"/>
          <w:szCs w:val="22"/>
        </w:rPr>
        <w:t xml:space="preserve">lancement du pilote — évaluation initiale, ouverture des 50 cercles.</w:t>
      </w:r>
    </w:p>
    <w:p>
      <w:pPr>
        <w:pStyle w:val="ListParagraph"/>
        <w:numPr>
          <w:ilvl w:val="0"/>
          <w:numId w:val="2"/>
        </w:numPr>
        <w:spacing w:after="100" w:line="276"/>
        <w:jc w:val="both"/>
      </w:pPr>
      <w:r>
        <w:rPr>
          <w:rFonts w:ascii="Calibri" w:cs="Calibri" w:eastAsia="Calibri" w:hAnsi="Calibri"/>
          <w:b/>
          <w:bCs/>
          <w:color w:val="262626"/>
          <w:sz w:val="22"/>
          <w:szCs w:val="22"/>
        </w:rPr>
        <w:t xml:space="preserve">T3 2027 : </w:t>
      </w:r>
      <w:r>
        <w:rPr>
          <w:rFonts w:ascii="Calibri" w:cs="Calibri" w:eastAsia="Calibri" w:hAnsi="Calibri"/>
          <w:color w:val="262626"/>
          <w:sz w:val="22"/>
          <w:szCs w:val="22"/>
        </w:rPr>
        <w:t xml:space="preserve">premières données de progression ; ouverture des discussions avec Jacobs, Luminos et Educate A Child pour le passage à l'échelle.</w:t>
      </w:r>
    </w:p>
    <w:p>
      <w:pPr>
        <w:pStyle w:val="ListParagraph"/>
        <w:numPr>
          <w:ilvl w:val="0"/>
          <w:numId w:val="2"/>
        </w:numPr>
        <w:spacing w:after="100" w:line="276"/>
        <w:jc w:val="both"/>
      </w:pPr>
      <w:r>
        <w:rPr>
          <w:rFonts w:ascii="Calibri" w:cs="Calibri" w:eastAsia="Calibri" w:hAnsi="Calibri"/>
          <w:b/>
          <w:bCs/>
          <w:color w:val="262626"/>
          <w:sz w:val="22"/>
          <w:szCs w:val="22"/>
        </w:rPr>
        <w:t xml:space="preserve">T1 2028 : </w:t>
      </w:r>
      <w:r>
        <w:rPr>
          <w:rFonts w:ascii="Calibri" w:cs="Calibri" w:eastAsia="Calibri" w:hAnsi="Calibri"/>
          <w:color w:val="262626"/>
          <w:sz w:val="22"/>
          <w:szCs w:val="22"/>
        </w:rPr>
        <w:t xml:space="preserve">évaluation finale, rapport d'impact, levée pour l'année 2 (5 000 enfants, extension à une seconde région, préparation Sénégal / Burkina).</w:t>
      </w:r>
    </w:p>
    <w:p>
      <w:pPr>
        <w:spacing w:after="160" w:line="276"/>
        <w:jc w:val="both"/>
      </w:pPr>
      <w:r>
        <w:rPr>
          <w:rFonts w:ascii="Calibri" w:cs="Calibri" w:eastAsia="Calibri" w:hAnsi="Calibri"/>
          <w:b/>
          <w:bCs/>
          <w:color w:val="262626"/>
          <w:sz w:val="22"/>
          <w:szCs w:val="22"/>
        </w:rPr>
        <w:t xml:space="preserve">Notre conviction : </w:t>
      </w:r>
      <w:r>
        <w:rPr>
          <w:rFonts w:ascii="Calibri" w:cs="Calibri" w:eastAsia="Calibri" w:hAnsi="Calibri"/>
          <w:color w:val="262626"/>
          <w:sz w:val="22"/>
          <w:szCs w:val="22"/>
        </w:rPr>
        <w:t xml:space="preserve">il n'est plus nécessaire d'attendre qu'une école soit construite pour qu'un enfant apprenne à lire. Le téléphone est déjà dans la famille, la science est déjà dans la recherche, la volonté est déjà dans les quartiers et les villages. KAMISSA relie ces trois forces — et le prouve, enfant par enfant, mot par mot. Une libraire nous l'a appris avant tout le monde : un enfant qui lit ne s'arrête plus.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 cy="114300"/>
                  </a:xfrm>
                  <a:prstGeom prst="rect">
                    <a:avLst/>
                  </a:prstGeom>
                </pic:spPr>
              </pic:pic>
            </a:graphicData>
          </a:graphic>
        </wp:inline>
      </w:drawing>
    </w:r>
    <w:r>
      <w:rPr>
        <w:rFonts w:ascii="Calibri" w:cs="Calibri" w:eastAsia="Calibri" w:hAnsi="Calibri"/>
        <w:color w:val="808080"/>
        <w:sz w:val="16"/>
        <w:szCs w:val="16"/>
      </w:rPr>
      <w:t xml:space="preserve">  KAMISSA — Note conceptuelle —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3f375523d543619400f9103499c9d5acc8871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c7fd75131e3cdb2dc2e945318fcfaf0c0b0f66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2026-07-04T11:48:13.996Z</dcterms:created>
  <dcterms:modified xsi:type="dcterms:W3CDTF">2026-07-04T11:48:13.998Z</dcterms:modified>
</cp:coreProperties>
</file>

<file path=docProps/custom.xml><?xml version="1.0" encoding="utf-8"?>
<Properties xmlns="http://schemas.openxmlformats.org/officeDocument/2006/custom-properties" xmlns:vt="http://schemas.openxmlformats.org/officeDocument/2006/docPropsVTypes"/>
</file>