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21"/>
    <w:bookmarkStart w:id="23" w:name="mission-du-liaison"/>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w:t>
      </w:r>
      <w:r>
        <w:t xml:space="preserve"> </w:t>
      </w:r>
      <w:r>
        <w:rPr>
          <w:b/>
          <w:bCs/>
        </w:rPr>
        <w:t xml:space="preserve">recenser tout le stock</w:t>
      </w:r>
      <w:r>
        <w:t xml:space="preserve"> </w:t>
      </w:r>
      <w:r>
        <w:t xml:space="preserve">(photo et description, rayon par rayon — pas un échantillon),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pPr>
        <w:pStyle w:val="BlockText"/>
      </w:pPr>
      <w:r>
        <w:rPr>
          <w:b/>
          <w:bCs/>
        </w:rPr>
        <w:t xml:space="preserve">Ce manuel couvre l’outil, pas la conversation.</w:t>
      </w:r>
      <w:r>
        <w:t xml:space="preserve"> </w:t>
      </w:r>
      <w:r>
        <w:t xml:space="preserve">Pour le démarchage proprement dit — ce qu’on dit en entrant dans le magasin, la trame d’entretien, l’argumentaire, les objections et le closing — la référence est la</w:t>
      </w:r>
      <w:r>
        <w:t xml:space="preserve"> </w:t>
      </w:r>
      <w:hyperlink r:id="rId22">
        <w:r>
          <w:rPr>
            <w:rStyle w:val="Hyperlink"/>
          </w:rPr>
          <w:t xml:space="preserve">Bible du démarchage vendeurs</w:t>
        </w:r>
      </w:hyperlink>
      <w:r>
        <w:t xml:space="preserve">. Les deux documents se lisent ensemble : la bible amène le « oui », ce manuel l’exécute.</w:t>
      </w:r>
    </w:p>
    <w:p>
      <w:r>
        <w:pict>
          <v:rect style="width:0;height:1.5pt" o:hralign="center" o:hrstd="t" o:hr="t"/>
        </w:pict>
      </w:r>
    </w:p>
    <w:bookmarkEnd w:id="23"/>
    <w:bookmarkStart w:id="27" w:name="connexion-et-accès-au-tableau-de-bord"/>
    <w:p>
      <w:pPr>
        <w:pStyle w:val="Heading2"/>
      </w:pPr>
      <w:r>
        <w:t xml:space="preserve">2. Connexion et accès au tableau de bord</w:t>
      </w:r>
    </w:p>
    <w:bookmarkStart w:id="24"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24"/>
    <w:bookmarkStart w:id="25"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25"/>
    <w:bookmarkStart w:id="26"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26"/>
    <w:bookmarkEnd w:id="27"/>
    <w:bookmarkStart w:id="28" w:name="préparation-dune-visite-vendeur"/>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r>
        <w:tc>
          <w:tcPr/>
          <w:p>
            <w:pPr>
              <w:pStyle w:val="Compact"/>
            </w:pPr>
            <w:r>
              <w:rPr>
                <w:b/>
                <w:bCs/>
              </w:rPr>
              <w:t xml:space="preserve">Employé désigné pour la saisie</w:t>
            </w:r>
            <w:r>
              <w:t xml:space="preserve"> </w:t>
            </w:r>
            <w:r>
              <w:t xml:space="preserve">(nom + téléphone)</w:t>
            </w:r>
          </w:p>
        </w:tc>
        <w:tc>
          <w:tcPr/>
          <w:p>
            <w:pPr>
              <w:pStyle w:val="Compact"/>
            </w:pPr>
            <w:r>
              <w:rPr>
                <w:b/>
                <w:bCs/>
              </w:rPr>
              <w:t xml:space="preserve">C’est lui qui publiera les arrivages après le passage du Liaison.</w:t>
            </w:r>
            <w:r>
              <w:t xml:space="preserve"> </w:t>
            </w:r>
            <w:r>
              <w:t xml:space="preserve">Sans ce nom, le catalogue s’arrête au jour de la visite</w:t>
            </w:r>
          </w:p>
        </w:tc>
      </w:tr>
    </w:tbl>
    <w:p>
      <w:pPr>
        <w:pStyle w:val="BodyText"/>
      </w:pPr>
      <w:r>
        <w:t xml:space="preserve">Les six dernières lignes ne se remplissent pas au bureau : elles sortent de la découverte menée en magasin (blocs 1 à 5 de la trame d’entretien). Le nom de l’employé, en particulier, est la réponse à la question « qui connaît le stock par cœur ici ? ».</w:t>
      </w:r>
    </w:p>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pPr>
        <w:pStyle w:val="BodyText"/>
      </w:pPr>
      <w:r>
        <w:rPr>
          <w:b/>
          <w:bCs/>
        </w:rPr>
        <w:t xml:space="preserve">Après l’onboarding — la formation de l’employé.</w:t>
      </w:r>
      <w:r>
        <w:t xml:space="preserve"> </w:t>
      </w:r>
      <w:r>
        <w:t xml:space="preserve">La bible du démarchage promet au vendeur que son employé sera formé sur place,</w:t>
      </w:r>
      <w:r>
        <w:t xml:space="preserve"> </w:t>
      </w:r>
      <w:r>
        <w:rPr>
          <w:b/>
          <w:bCs/>
        </w:rPr>
        <w:t xml:space="preserve">en une demi-heure, sur son propre téléphone</w:t>
      </w:r>
      <w:r>
        <w:t xml:space="preserve">. C’est un engagement pris en visite : il se tient. Concrètement, on lui fait publier deux ou trois pièces lui-même pendant qu’on est là — photo, état, prix, commission énoncée par le patron — plutôt que de le regarder faire. Un employé qui n’a jamais publié seul devant nous ne publiera pas après notre départ.</w:t>
      </w:r>
    </w:p>
    <w:p>
      <w:r>
        <w:pict>
          <v:rect style="width:0;height:1.5pt" o:hralign="center" o:hrstd="t" o:hr="t"/>
        </w:pict>
      </w:r>
    </w:p>
    <w:bookmarkEnd w:id="28"/>
    <w:bookmarkStart w:id="31" w:name="onboarder-un-nouveau-vendeur"/>
    <w:p>
      <w:pPr>
        <w:pStyle w:val="Heading2"/>
      </w:pPr>
      <w:r>
        <w:t xml:space="preserve">4. Onboarder un nouveau vendeur</w:t>
      </w:r>
    </w:p>
    <w:bookmarkStart w:id="29"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w:t>
      </w:r>
      <w:r>
        <w:t xml:space="preserve"> </w:t>
      </w:r>
      <w:r>
        <w:t xml:space="preserve">“En attente d’activation”</w:t>
      </w:r>
      <w:r>
        <w:t xml:space="preserve">.</w:t>
      </w:r>
    </w:p>
    <w:bookmarkEnd w:id="29"/>
    <w:bookmarkStart w:id="30"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w:t>
      </w:r>
      <w:r>
        <w:rPr>
          <w:b/>
          <w:bCs/>
        </w:rPr>
        <w:t xml:space="preserve">acceptation du socle de reprise</w:t>
      </w:r>
      <w:r>
        <w:t xml:space="preserve"> </w:t>
      </w:r>
      <w:r>
        <w:t xml:space="preserve">(reprise si la livraison échoue, si l’acheteur refuse la pièce à la livraison, ou en cas de non-conformité signalée sous 24 h). La garantie commerciale, elle, reste au choix du vendeur, pièce par pièce.</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30"/>
    <w:bookmarkEnd w:id="31"/>
    <w:bookmarkStart w:id="33" w:name="ajouter-une-pièce-au-catalogue"/>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w:t>
      </w:r>
      <w:r>
        <w:t xml:space="preserve"> </w:t>
      </w:r>
      <w:r>
        <w:t xml:space="preserve">“Alternateur 90A”</w:t>
      </w:r>
      <w:r>
        <w:t xml:space="preserve">)</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w:t>
      </w:r>
      <w:r>
        <w:t xml:space="preserve"> </w:t>
      </w:r>
      <w:r>
        <w:t xml:space="preserve">“Toyota Hilux 2010-2015”</w:t>
      </w:r>
      <w:r>
        <w:t xml:space="preserve">)</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32"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32"/>
    <w:bookmarkEnd w:id="33"/>
    <w:bookmarkStart w:id="37" w:name="faire-fixer-et-enregistrer-la-commission"/>
    <w:p>
      <w:pPr>
        <w:pStyle w:val="Heading2"/>
      </w:pPr>
      <w:r>
        <w:t xml:space="preserve">6. Faire fixer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w:t>
      </w:r>
      <w:r>
        <w:t xml:space="preserve"> </w:t>
      </w:r>
      <w:r>
        <w:rPr>
          <w:b/>
          <w:bCs/>
        </w:rPr>
        <w:t xml:space="preserve">C’est le vendeur qui la fixe</w:t>
      </w:r>
      <w:r>
        <w:t xml:space="preserve">, pièce par pièce, au moment de la publication. Le rôle du Liaison est de lui poser la question, d’enregistrer sa réponse telle quelle, et de la faire agréer (section 7).</w:t>
      </w:r>
    </w:p>
    <w:bookmarkStart w:id="34" w:name="le-liaison-ne-propose-jamais-de-montant"/>
    <w:p>
      <w:pPr>
        <w:pStyle w:val="Heading3"/>
      </w:pPr>
      <w:r>
        <w:t xml:space="preserve">Le Liaison ne propose jamais de montant</w:t>
      </w:r>
    </w:p>
    <w:p>
      <w:pPr>
        <w:pStyle w:val="FirstParagraph"/>
      </w:pPr>
      <w:r>
        <w:t xml:space="preserve">C’est la règle la plus importante de cette section, et elle est sans exception :</w:t>
      </w:r>
      <w:r>
        <w:t xml:space="preserve"> </w:t>
      </w:r>
      <w:r>
        <w:rPr>
          <w:b/>
          <w:bCs/>
        </w:rPr>
        <w:t xml:space="preserve">on ne suggère ni taux, ni fourchette, ni montant</w:t>
      </w:r>
      <w:r>
        <w:t xml:space="preserve">, même quand le vendeur insiste, même quand il demande « et vous, vous mettez combien d’habitude ? ».</w:t>
      </w:r>
    </w:p>
    <w:p>
      <w:pPr>
        <w:pStyle w:val="BodyText"/>
      </w:pPr>
      <w:r>
        <w:t xml:space="preserve">On lui renvoie la question :</w:t>
      </w:r>
    </w:p>
    <w:p>
      <w:pPr>
        <w:pStyle w:val="BlockText"/>
      </w:pPr>
      <w:r>
        <w:t xml:space="preserve">« C’est vous qui décidez. Sur une pièce à 25 000 F, vous seriez à l’aise à combien, pour un client que vous n’auriez pas eu autrement ? »</w:t>
      </w:r>
    </w:p>
    <w:p>
      <w:pPr>
        <w:pStyle w:val="FirstParagraph"/>
      </w:pPr>
      <w:r>
        <w:t xml:space="preserve">La raison est commerciale, pas administrative :</w:t>
      </w:r>
      <w:r>
        <w:t xml:space="preserve"> </w:t>
      </w:r>
      <w:r>
        <w:rPr>
          <w:b/>
          <w:bCs/>
        </w:rPr>
        <w:t xml:space="preserve">le premier chiffre qu’un Liaison prononce devient le barème de tout le marché</w:t>
      </w:r>
      <w:r>
        <w:t xml:space="preserve">, et il ne redescend jamais. Nous voulons observer ce que les vendeurs acceptent réellement — c’est cette donnée qui permettra plus tard de construire une politique. Un chiffre soufflé la détruit.</w:t>
      </w:r>
    </w:p>
    <w:p>
      <w:pPr>
        <w:pStyle w:val="BodyText"/>
      </w:pPr>
      <w:r>
        <w:t xml:space="preserve">Ce que le Liaison a le droit de savoir, et que le vendeur n’a pas à entendre : sur le terrain, les commissions retenues se situent le plus souvent entre 5 et 10 %.</w:t>
      </w:r>
      <w:r>
        <w:t xml:space="preserve"> </w:t>
      </w:r>
      <w:r>
        <w:rPr>
          <w:b/>
          <w:bCs/>
        </w:rPr>
        <w:t xml:space="preserve">C’est une observation interne, jamais un argument de visite.</w:t>
      </w:r>
    </w:p>
    <w:bookmarkEnd w:id="34"/>
    <w:bookmarkStart w:id="35" w:name="il-ny-a-pas-de-plancher"/>
    <w:p>
      <w:pPr>
        <w:pStyle w:val="Heading3"/>
      </w:pPr>
      <w:r>
        <w:t xml:space="preserve">Il n’y a pas de plancher</w:t>
      </w:r>
    </w:p>
    <w:p>
      <w:pPr>
        <w:pStyle w:val="FirstParagraph"/>
      </w:pPr>
      <w:r>
        <w:t xml:space="preserve">Le système</w:t>
      </w:r>
      <w:r>
        <w:t xml:space="preserve"> </w:t>
      </w:r>
      <w:r>
        <w:rPr>
          <w:b/>
          <w:bCs/>
        </w:rPr>
        <w:t xml:space="preserve">enregistre le montant tel qu’il est saisi</w:t>
      </w:r>
      <w:r>
        <w:t xml:space="preserve">, et</w:t>
      </w:r>
      <w:r>
        <w:t xml:space="preserve"> </w:t>
      </w:r>
      <w:r>
        <w:rPr>
          <w:b/>
          <w:bCs/>
        </w:rPr>
        <w:t xml:space="preserve">0 est accepté</w:t>
      </w:r>
      <w:r>
        <w:t xml:space="preserve"> </w:t>
      </w:r>
      <w:r>
        <w:t xml:space="preserve">: un vendeur peut publier une pièce sans commission. On gagne peu sur cette annonce-là, mais la donnée a de la valeur et le vendeur est entré dans le catalogue.</w:t>
      </w:r>
    </w:p>
    <w:p>
      <w:pPr>
        <w:pStyle w:val="BodyText"/>
      </w:pPr>
      <w:r>
        <w:t xml:space="preserve">Il n’y a donc</w:t>
      </w:r>
      <w:r>
        <w:t xml:space="preserve"> </w:t>
      </w:r>
      <w:r>
        <w:rPr>
          <w:b/>
          <w:bCs/>
        </w:rPr>
        <w:t xml:space="preserve">aucun rattrapage automatique</w:t>
      </w:r>
      <w:r>
        <w:t xml:space="preserve"> </w:t>
      </w:r>
      <w:r>
        <w:t xml:space="preserve">: le montant saisi est exactement le montant qui sera prélevé à la vente. Et le message à tenir en visite — « il n’y a pas de montant minimum » — est exact, on peut le dire sans réserve.</w:t>
      </w:r>
    </w:p>
    <w:bookmarkEnd w:id="35"/>
    <w:bookmarkStart w:id="36" w:name="X6006da6b0c2839be6c1a64732efe3773690ee04"/>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indique lui-même la commission</w:t>
      </w:r>
      <w:r>
        <w:t xml:space="preserve"> </w:t>
      </w:r>
      <w:r>
        <w:t xml:space="preserve">dans son interface vendeur — là encore sans plancher, et 0 accepté. Le Liaison peut l’accompagner sur cette étape lors de l’onboarding, mais c’est bien au vendeur de définir la commission de chacune de ses pièces. C’est d’ailleurs le cas cible : à terme, tout passe par lui.</w:t>
      </w:r>
    </w:p>
    <w:p>
      <w:r>
        <w:pict>
          <v:rect style="width:0;height:1.5pt" o:hralign="center" o:hrstd="t" o:hr="t"/>
        </w:pict>
      </w:r>
    </w:p>
    <w:bookmarkEnd w:id="36"/>
    <w:bookmarkEnd w:id="37"/>
    <w:bookmarkStart w:id="41" w:name="X214a532742eeb025de307657c4ebca8b8f1da5d"/>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38" w:name="workflow"/>
    <w:p>
      <w:pPr>
        <w:pStyle w:val="Heading3"/>
      </w:pPr>
      <w:r>
        <w:t xml:space="preserve">Workflow</w:t>
      </w:r>
    </w:p>
    <w:p>
      <w:pPr>
        <w:pStyle w:val="Compact"/>
        <w:numPr>
          <w:ilvl w:val="0"/>
          <w:numId w:val="1013"/>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3"/>
        </w:numPr>
      </w:pPr>
      <w:r>
        <w:t xml:space="preserve">Énoncer clairement :</w:t>
      </w:r>
      <w:r>
        <w:t xml:space="preserve"> </w:t>
      </w:r>
      <w:r>
        <w:t xml:space="preserve">“Pour cette pièce, vous nous reversez X FCFA de commission par vente.”</w:t>
      </w:r>
    </w:p>
    <w:p>
      <w:pPr>
        <w:pStyle w:val="Compact"/>
        <w:numPr>
          <w:ilvl w:val="0"/>
          <w:numId w:val="1013"/>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4"/>
        </w:numPr>
      </w:pPr>
      <w:r>
        <w:t xml:space="preserve">Cliquer le bouton vert</w:t>
      </w:r>
      <w:r>
        <w:t xml:space="preserve"> </w:t>
      </w:r>
      <w:r>
        <w:rPr>
          <w:b/>
          <w:bCs/>
        </w:rPr>
        <w:t xml:space="preserve">“Marquer agréée”</w:t>
      </w:r>
      <w:r>
        <w:t xml:space="preserve">.</w:t>
      </w:r>
    </w:p>
    <w:p>
      <w:pPr>
        <w:pStyle w:val="Compact"/>
        <w:numPr>
          <w:ilvl w:val="1"/>
          <w:numId w:val="1014"/>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38"/>
    <w:bookmarkStart w:id="39" w:name="visualiser-le-statut"/>
    <w:p>
      <w:pPr>
        <w:pStyle w:val="Heading3"/>
      </w:pPr>
      <w:r>
        <w:t xml:space="preserve">Visualiser le statut</w:t>
      </w:r>
    </w:p>
    <w:p>
      <w:pPr>
        <w:pStyle w:val="Compact"/>
        <w:numPr>
          <w:ilvl w:val="0"/>
          <w:numId w:val="1015"/>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6"/>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6"/>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5"/>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39"/>
    <w:bookmarkStart w:id="40"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w:t>
      </w:r>
      <w:r>
        <w:rPr>
          <w:b/>
          <w:bCs/>
        </w:rPr>
        <w:t xml:space="preserve"> </w:t>
      </w:r>
      <w:r>
        <w:rPr>
          <w:b/>
          <w:bCs/>
        </w:rPr>
        <w:t xml:space="preserve">“À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40"/>
    <w:bookmarkEnd w:id="41"/>
    <w:bookmarkStart w:id="42" w:name="modifier-une-annonce-existante"/>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7"/>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7"/>
        </w:numPr>
      </w:pPr>
      <w:r>
        <w:t xml:space="preserve">Cliquer</w:t>
      </w:r>
      <w:r>
        <w:t xml:space="preserve"> </w:t>
      </w:r>
      <w:r>
        <w:rPr>
          <w:b/>
          <w:bCs/>
        </w:rPr>
        <w:t xml:space="preserve">Modifier</w:t>
      </w:r>
      <w:r>
        <w:t xml:space="preserve"> </w:t>
      </w:r>
      <w:r>
        <w:t xml:space="preserve">sur la ligne de la pièce.</w:t>
      </w:r>
    </w:p>
    <w:p>
      <w:pPr>
        <w:pStyle w:val="Compact"/>
        <w:numPr>
          <w:ilvl w:val="0"/>
          <w:numId w:val="1017"/>
        </w:numPr>
      </w:pPr>
      <w:r>
        <w:t xml:space="preserve">Ajuster les champs nécessaires (nom, prix, état, commission, stock…).</w:t>
      </w:r>
    </w:p>
    <w:p>
      <w:pPr>
        <w:pStyle w:val="Compact"/>
        <w:numPr>
          <w:ilvl w:val="0"/>
          <w:numId w:val="1017"/>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8"/>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8"/>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w:t>
      </w:r>
      <w:r>
        <w:t xml:space="preserve"> </w:t>
      </w:r>
      <w:r>
        <w:t xml:space="preserve">“Marquer agréée”</w:t>
      </w:r>
      <w:r>
        <w:t xml:space="preserve"> </w:t>
      </w:r>
      <w:r>
        <w:t xml:space="preserve">après accord oral.</w:t>
      </w:r>
    </w:p>
    <w:p>
      <w:pPr>
        <w:pStyle w:val="Compact"/>
        <w:numPr>
          <w:ilvl w:val="0"/>
          <w:numId w:val="1018"/>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42"/>
    <w:bookmarkStart w:id="43" w:name="coordination-des-commandes"/>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19"/>
        </w:numPr>
      </w:pPr>
      <w:r>
        <w:rPr>
          <w:b/>
          <w:bCs/>
        </w:rPr>
        <w:t xml:space="preserve">Notification</w:t>
      </w:r>
      <w:r>
        <w:t xml:space="preserve"> </w:t>
      </w:r>
      <w:r>
        <w:t xml:space="preserve">— le système notifie le Liaison (et le vendeur s’il a un compte actif).</w:t>
      </w:r>
    </w:p>
    <w:p>
      <w:pPr>
        <w:pStyle w:val="Compact"/>
        <w:numPr>
          <w:ilvl w:val="0"/>
          <w:numId w:val="1019"/>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19"/>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19"/>
        </w:numPr>
      </w:pPr>
      <w:r>
        <w:rPr>
          <w:b/>
          <w:bCs/>
        </w:rPr>
        <w:t xml:space="preserve">Préparation et remise au livreur</w:t>
      </w:r>
      <w:r>
        <w:t xml:space="preserve"> </w:t>
      </w:r>
      <w:r>
        <w:t xml:space="preserve">— coordonner avec le vendeur et le livreur le retrait de la pièce.</w:t>
      </w:r>
    </w:p>
    <w:p>
      <w:pPr>
        <w:pStyle w:val="Compact"/>
        <w:numPr>
          <w:ilvl w:val="0"/>
          <w:numId w:val="1019"/>
        </w:numPr>
      </w:pPr>
      <w:r>
        <w:rPr>
          <w:b/>
          <w:bCs/>
        </w:rPr>
        <w:t xml:space="preserve">Suivi</w:t>
      </w:r>
      <w:r>
        <w:t xml:space="preserve"> </w:t>
      </w:r>
      <w:r>
        <w:t xml:space="preserve">— vérifier que la commande passe par les états DISPATCHED → IN_TRANSIT → DELIVERED → CONFIRMED.</w:t>
      </w:r>
    </w:p>
    <w:p>
      <w:pPr>
        <w:pStyle w:val="Compact"/>
        <w:numPr>
          <w:ilvl w:val="0"/>
          <w:numId w:val="1019"/>
        </w:numPr>
      </w:pPr>
      <w:r>
        <w:rPr>
          <w:b/>
          <w:bCs/>
        </w:rPr>
        <w:t xml:space="preserve">Paiement</w:t>
      </w:r>
      <w:r>
        <w:t xml:space="preserve"> </w:t>
      </w:r>
      <w:r>
        <w:t xml:space="preserve">— le vendeur est payé dès l’encaissement, commission déduite : à la commande si l’acheteur paie en ligne, à la remise s’il paie au livreur. Aucun fonds n’est bloqué, il n’y a pas de délai de reversement.</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43"/>
    <w:bookmarkStart w:id="44" w:name="suivi-quotidien-du-tableau-de-bord"/>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Faire signer le contrat d’adhésion (il active le vendeur) / relancer le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44"/>
    <w:bookmarkStart w:id="47" w:name="bonnes-pratiques-et-erreurs-à-éviter"/>
    <w:p>
      <w:pPr>
        <w:pStyle w:val="Heading2"/>
      </w:pPr>
      <w:r>
        <w:t xml:space="preserve">11. Bonnes pratiques et erreurs à éviter</w:t>
      </w:r>
    </w:p>
    <w:bookmarkStart w:id="45" w:name="à-faire-systématiquement"/>
    <w:p>
      <w:pPr>
        <w:pStyle w:val="Heading3"/>
      </w:pPr>
      <w:r>
        <w:t xml:space="preserve">À faire systématiquement</w:t>
      </w:r>
    </w:p>
    <w:p>
      <w:pPr>
        <w:pStyle w:val="Compact"/>
        <w:numPr>
          <w:ilvl w:val="0"/>
          <w:numId w:val="1020"/>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0"/>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0"/>
        </w:numPr>
      </w:pPr>
      <w:r>
        <w:rPr>
          <w:b/>
          <w:bCs/>
        </w:rPr>
        <w:t xml:space="preserve">Prendre tout le stock au premier passage</w:t>
      </w:r>
      <w:r>
        <w:t xml:space="preserve"> </w:t>
      </w:r>
      <w:r>
        <w:t xml:space="preserve">— nous sommes en phase de recrutement des vendeurs et de constitution du catalogue avant l’ouverture : ce qui n’est pas photographié ce jour-là n’existera pas au lancement. Si le magasin est trop grand pour une demi-journée, on repasse jusqu’à l’avoir fini plutôt que de s’arrêter à un échantillon.</w:t>
      </w:r>
    </w:p>
    <w:p>
      <w:pPr>
        <w:pStyle w:val="Compact"/>
        <w:numPr>
          <w:ilvl w:val="0"/>
          <w:numId w:val="1020"/>
        </w:numPr>
      </w:pPr>
      <w:r>
        <w:rPr>
          <w:b/>
          <w:bCs/>
        </w:rPr>
        <w:t xml:space="preserve">Faire agréer la commission le jour même</w:t>
      </w:r>
      <w:r>
        <w:t xml:space="preserve"> </w:t>
      </w:r>
      <w:r>
        <w:t xml:space="preserve">de la saisie, idéalement avant de quitter la boutique.</w:t>
      </w:r>
    </w:p>
    <w:p>
      <w:pPr>
        <w:pStyle w:val="Compact"/>
        <w:numPr>
          <w:ilvl w:val="0"/>
          <w:numId w:val="1020"/>
        </w:numPr>
      </w:pPr>
      <w:r>
        <w:rPr>
          <w:b/>
          <w:bCs/>
        </w:rPr>
        <w:t xml:space="preserve">Mettre à jour le statut</w:t>
      </w:r>
      <w:r>
        <w:rPr>
          <w:b/>
          <w:bCs/>
        </w:rPr>
        <w:t xml:space="preserve"> </w:t>
      </w:r>
      <w:r>
        <w:rPr>
          <w:b/>
          <w:bCs/>
        </w:rPr>
        <w:t xml:space="preserve">“En stock”</w:t>
      </w:r>
      <w:r>
        <w:t xml:space="preserve"> </w:t>
      </w:r>
      <w:r>
        <w:t xml:space="preserve">dès qu’une pièce part — vendre une pièce indisponible dégrade la confiance dans Pièces.</w:t>
      </w:r>
    </w:p>
    <w:p>
      <w:pPr>
        <w:pStyle w:val="Compact"/>
        <w:numPr>
          <w:ilvl w:val="0"/>
          <w:numId w:val="1020"/>
        </w:numPr>
      </w:pPr>
      <w:r>
        <w:rPr>
          <w:b/>
          <w:bCs/>
        </w:rPr>
        <w:t xml:space="preserve">Mettre à jour les zones de livraison</w:t>
      </w:r>
      <w:r>
        <w:t xml:space="preserve"> </w:t>
      </w:r>
      <w:r>
        <w:t xml:space="preserve">quand le vendeur étend son rayon.</w:t>
      </w:r>
    </w:p>
    <w:bookmarkEnd w:id="45"/>
    <w:bookmarkStart w:id="46" w:name="à-éviter"/>
    <w:p>
      <w:pPr>
        <w:pStyle w:val="Heading3"/>
      </w:pPr>
      <w:r>
        <w:t xml:space="preserve">À éviter</w:t>
      </w:r>
    </w:p>
    <w:p>
      <w:pPr>
        <w:pStyle w:val="Compact"/>
        <w:numPr>
          <w:ilvl w:val="0"/>
          <w:numId w:val="1021"/>
        </w:numPr>
      </w:pPr>
      <w:r>
        <w:t xml:space="preserve">❌ Saisir un montant de commission que le vendeur n’a pas énoncé lui-même —</w:t>
      </w:r>
      <w:r>
        <w:t xml:space="preserve"> </w:t>
      </w:r>
      <w:r>
        <w:rPr>
          <w:b/>
          <w:bCs/>
        </w:rPr>
        <w:t xml:space="preserve">il n’y a pas de plancher pour rattraper</w:t>
      </w:r>
      <w:r>
        <w:t xml:space="preserve"> </w:t>
      </w:r>
      <w:r>
        <w:t xml:space="preserve">: ce qui est saisi est ce qui sera prélevé, et l’agrément ne correspondra plus à ce que le vendeur croit avoir accepté.</w:t>
      </w:r>
    </w:p>
    <w:p>
      <w:pPr>
        <w:pStyle w:val="Compact"/>
        <w:numPr>
          <w:ilvl w:val="0"/>
          <w:numId w:val="1021"/>
        </w:numPr>
      </w:pPr>
      <w:r>
        <w:t xml:space="preserve">❌ Souffler un taux ou une fourchette au vendeur, même « pour l’aider à se décider » — voir section 6.</w:t>
      </w:r>
    </w:p>
    <w:p>
      <w:pPr>
        <w:pStyle w:val="Compact"/>
        <w:numPr>
          <w:ilvl w:val="0"/>
          <w:numId w:val="1021"/>
        </w:numPr>
      </w:pPr>
      <w:r>
        <w:t xml:space="preserve">❌ Modifier le prix d’une pièce sans en informer le vendeur — risque de litige.</w:t>
      </w:r>
    </w:p>
    <w:p>
      <w:pPr>
        <w:pStyle w:val="Compact"/>
        <w:numPr>
          <w:ilvl w:val="0"/>
          <w:numId w:val="1021"/>
        </w:numPr>
      </w:pPr>
      <w:r>
        <w:t xml:space="preserve">❌ Marquer une commission comme agréée sans avoir eu l’accord oral du vendeur — c’est une fausse déclaration.</w:t>
      </w:r>
    </w:p>
    <w:p>
      <w:pPr>
        <w:pStyle w:val="Compact"/>
        <w:numPr>
          <w:ilvl w:val="0"/>
          <w:numId w:val="1021"/>
        </w:numPr>
      </w:pPr>
      <w:r>
        <w:t xml:space="preserve">❌ Créer un doublon de vendeur (même numéro de téléphone) — le système refusera mais cela perd du temps.</w:t>
      </w:r>
    </w:p>
    <w:p>
      <w:pPr>
        <w:pStyle w:val="Compact"/>
        <w:numPr>
          <w:ilvl w:val="0"/>
          <w:numId w:val="1021"/>
        </w:numPr>
      </w:pPr>
      <w:r>
        <w:t xml:space="preserve">❌ Laisser des vendeurs en PENDING_ACTIVATION pendant des semaines — leurs pièces ne se vendent pas tant que le statut n’est pas ACTIVE.</w:t>
      </w:r>
    </w:p>
    <w:p>
      <w:r>
        <w:pict>
          <v:rect style="width:0;height:1.5pt" o:hralign="center" o:hrstd="t" o:hr="t"/>
        </w:pict>
      </w:r>
    </w:p>
    <w:bookmarkEnd w:id="46"/>
    <w:bookmarkEnd w:id="47"/>
    <w:bookmarkStart w:id="48" w:name="faq-liaison"/>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48"/>
    <w:bookmarkStart w:id="49"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guide-prospection-vendeurs-2026-08.md" TargetMode="External" /></Relationships>
</file>

<file path=word/_rels/footnotes.xml.rels><?xml version="1.0" encoding="UTF-8"?><Relationships xmlns="http://schemas.openxmlformats.org/package/2006/relationships"><Relationship Type="http://schemas.openxmlformats.org/officeDocument/2006/relationships/hyperlink" Id="rId22" Target="./guide-prospection-vendeurs-2026-08.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2026-09-18T19:41:54Z</dcterms:created>
  <dcterms:modified xsi:type="dcterms:W3CDTF">2026-09-18T19:41:54Z</dcterms:modified>
</cp:coreProperties>
</file>

<file path=docProps/custom.xml><?xml version="1.0" encoding="utf-8"?>
<Properties xmlns="http://schemas.openxmlformats.org/officeDocument/2006/custom-properties" xmlns:vt="http://schemas.openxmlformats.org/officeDocument/2006/docPropsVTypes"/>
</file>