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"/>
      </w:pPr>
      <w:r>
        <w:rPr>
          <w:rFonts w:ascii="Georgia" w:cs="Georgia" w:eastAsia="Georgia" w:hAnsi="Georgia"/>
          <w:b/>
          <w:bCs/>
          <w:color w:val="1A1714"/>
          <w:sz w:val="96"/>
          <w:szCs w:val="96"/>
        </w:rPr>
        <w:t xml:space="preserve">Pièces</w:t>
      </w:r>
      <w:r>
        <w:rPr>
          <w:rFonts w:ascii="Georgia" w:cs="Georgia" w:eastAsia="Georgia" w:hAnsi="Georgia"/>
          <w:b/>
          <w:bCs/>
          <w:color w:val="D4880F"/>
          <w:sz w:val="96"/>
          <w:szCs w:val="96"/>
        </w:rPr>
        <w:t xml:space="preserve">.</w:t>
      </w:r>
    </w:p>
    <w:p>
      <w:pPr>
        <w:spacing w:after="300"/>
      </w:pPr>
      <w:r>
        <w:rPr>
          <w:rFonts w:ascii="Calibri" w:cs="Calibri" w:eastAsia="Calibri" w:hAnsi="Calibri"/>
          <w:color w:val="3C362C"/>
          <w:sz w:val="36"/>
          <w:szCs w:val="36"/>
        </w:rPr>
        <w:t xml:space="preserve">Charte Graphique</w:t>
      </w:r>
    </w:p>
    <w:p>
      <w:pPr>
        <w:pBdr>
          <w:top w:val="single" w:color="D4D4D4" w:sz="2" w:space="8"/>
        </w:pBdr>
        <w:spacing w:before="200" w:after="80"/>
      </w:pPr>
      <w:r>
        <w:rPr>
          <w:rFonts w:ascii="Calibri" w:cs="Calibri" w:eastAsia="Calibri" w:hAnsi="Calibri"/>
          <w:color w:val="8A8A8A"/>
          <w:sz w:val="22"/>
          <w:szCs w:val="22"/>
        </w:rPr>
        <w:t xml:space="preserve">Marketplace pièces détachées automobiles</w:t>
      </w:r>
    </w:p>
    <w:p>
      <w:pPr>
        <w:spacing w:after="80"/>
      </w:pPr>
      <w:r>
        <w:rPr>
          <w:rFonts w:ascii="Calibri" w:cs="Calibri" w:eastAsia="Calibri" w:hAnsi="Calibri"/>
          <w:color w:val="8A8A8A"/>
          <w:sz w:val="22"/>
          <w:szCs w:val="22"/>
        </w:rPr>
        <w:t xml:space="preserve">Abidjan, Côte d'Ivoire</w:t>
      </w:r>
    </w:p>
    <w:p>
      <w:pPr>
        <w:spacing w:before="200"/>
      </w:pPr>
    </w:p>
    <w:p>
      <w:r>
        <w:rPr>
          <w:rFonts w:ascii="Courier New" w:cs="Courier New" w:eastAsia="Courier New" w:hAnsi="Courier New"/>
          <w:color w:val="8A8A8A"/>
          <w:sz w:val="18"/>
          <w:szCs w:val="18"/>
        </w:rPr>
        <w:t xml:space="preserve">Version 1.0 — Mars 2026</w:t>
      </w:r>
    </w:p>
    <w:p>
      <w:pPr>
        <w:spacing w:before="300"/>
      </w:pPr>
    </w:p>
    <w:p>
      <w:pPr>
        <w:spacing w:before="120" w:after="120"/>
      </w:pPr>
      <w:r>
        <w:drawing>
          <wp:inline distT="0" distB="0" distL="0" distR="0">
            <wp:extent cx="3619500" cy="304800"/>
            <wp:effectExtent t="0" r="0" b="0" l="0"/>
            <wp:docPr id="1" name="badges_strip.png" descr="badges_strip.png" title="badges_str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before="100"/>
      </w:pP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01</w:t>
      </w: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  ———</w:t>
      </w:r>
    </w:p>
    <w:p>
      <w:pPr>
        <w:pStyle w:val="Heading1"/>
        <w:spacing w:before="80" w:after="200"/>
      </w:pPr>
      <w:r>
        <w:t xml:space="preserve">Logo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Le logo Pièces utilise la police Gloock (serif display), avec un point ambre distinctif. Le point ambre est un élément fixe et non optionnel du logotype.</w:t>
      </w:r>
    </w:p>
    <w:p>
      <w:pPr>
        <w:pStyle w:val="Heading2"/>
        <w:spacing w:before="300" w:after="120"/>
      </w:pPr>
      <w:r>
        <w:t xml:space="preserve">Déclinaisons</w:t>
      </w:r>
    </w:p>
    <w:p>
      <w:pPr>
        <w:spacing w:before="120" w:after="120"/>
      </w:pPr>
      <w:r>
        <w:drawing>
          <wp:inline distT="0" distB="0" distL="0" distR="0">
            <wp:extent cx="3048000" cy="762000"/>
            <wp:effectExtent t="0" r="0" b="0" l="0"/>
            <wp:docPr id="1" name="logo_white.png" descr="logo_white.png" title="logo_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ourier New" w:cs="Courier New" w:eastAsia="Courier New" w:hAnsi="Courier New"/>
          <w:color w:val="8A8A8A"/>
          <w:sz w:val="16"/>
          <w:szCs w:val="16"/>
        </w:rPr>
        <w:t xml:space="preserve">Sur fond blanc — Logotype en Ink (#1A1714) + point Amber (#D4880F)</w:t>
      </w:r>
    </w:p>
    <w:p>
      <w:pPr>
        <w:spacing w:before="100"/>
      </w:pPr>
    </w:p>
    <w:p>
      <w:pPr>
        <w:spacing w:before="120" w:after="120"/>
      </w:pPr>
      <w:r>
        <w:drawing>
          <wp:inline distT="0" distB="0" distL="0" distR="0">
            <wp:extent cx="3048000" cy="762000"/>
            <wp:effectExtent t="0" r="0" b="0" l="0"/>
            <wp:docPr id="1" name="logo_dark.png" descr="logo_dark.png" title="logo_d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ourier New" w:cs="Courier New" w:eastAsia="Courier New" w:hAnsi="Courier New"/>
          <w:color w:val="8A8A8A"/>
          <w:sz w:val="16"/>
          <w:szCs w:val="16"/>
        </w:rPr>
        <w:t xml:space="preserve">Sur fond sombre — Logotype en Cream (#FDFBF7) + point Amber (#D4880F)</w:t>
      </w:r>
    </w:p>
    <w:p>
      <w:pPr>
        <w:pStyle w:val="Heading2"/>
        <w:spacing w:before="300" w:after="120"/>
      </w:pPr>
      <w:r>
        <w:t xml:space="preserve">Zone d'exclusion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Respecter un espace minimum égal à la hauteur du point ambre tout autour du logo. Cet espace garantit la lisibilité du logotype dans tous les contextes.</w:t>
      </w:r>
    </w:p>
    <w:p>
      <w:pPr>
        <w:pStyle w:val="Heading2"/>
        <w:spacing w:before="300" w:after="120"/>
      </w:pPr>
      <w:r>
        <w:t xml:space="preserve">Taille minimale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Le logo ne doit jamais être affiché en dessous de 90px de large (digital) ou 24mm (print).</w:t>
      </w:r>
    </w:p>
    <w:p>
      <w:pPr>
        <w:pStyle w:val="Heading2"/>
        <w:spacing w:before="300" w:after="120"/>
      </w:pPr>
      <w:r>
        <w:t xml:space="preserve">Usages interdits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Ne jamais modifier les proportions du logo (étirement, compression)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Ne jamais retirer ou déplacer le point ambre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Ne jamais changer la couleur du point ambre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Ne jamais placer le logo sur un fond qui réduit sa lisibilité (contraste &lt; 3:1)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Ne jamais entourer le logo d'un contour ou d'une ombre portée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before="100"/>
      </w:pP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02</w:t>
      </w: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  ———</w:t>
      </w:r>
    </w:p>
    <w:p>
      <w:pPr>
        <w:pStyle w:val="Heading1"/>
        <w:spacing w:before="80" w:after="200"/>
      </w:pPr>
      <w:r>
        <w:t xml:space="preserve">Couleurs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La palette Pièces s'articule autour de tons chauds, terreux et de l'ambre comme accent principal. Elle évoque la confiance, la transparence et l'ancrage local ivoirien.</w:t>
      </w:r>
    </w:p>
    <w:p>
      <w:pPr>
        <w:pStyle w:val="Heading2"/>
        <w:spacing w:before="300" w:after="120"/>
      </w:pPr>
      <w:r>
        <w:t xml:space="preserve">Primaire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4238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Amber" descr="Amber" title="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Amber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#D4880F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Accent principal, CTA, boutons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Amber Light" descr="Amber Light" title="Amber L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Amber Light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#F5D98A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Backgrounds doux, highlights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Amber Dark" descr="Amber Dark" title="Amber D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Amber Dark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#A66B0A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Texte sur fond clair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Amber Pale" descr="Amber Pale" title="Amber P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Amber Pale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#FFF3DC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Highlights très subtils</w:t>
            </w:r>
          </w:p>
        </w:tc>
      </w:tr>
    </w:tbl>
    <w:p>
      <w:pPr>
        <w:pStyle w:val="Heading2"/>
        <w:spacing w:before="300" w:after="120"/>
      </w:pPr>
      <w:r>
        <w:t xml:space="preserve">Neutres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4238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Ink" descr="Ink" title="I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Ink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#1A1714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Texte principal, titres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Ink Soft" descr="Ink Soft" title="Ink So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Ink Soft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#3C362C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Texte secondaire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Cream" descr="Cream" title="Cre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Cream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#FDFBF7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Fond principal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Sand" descr="Sand" title="S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Sand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#F5F0E8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Fond secondaire, cartes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Sand Dark" descr="Sand Dark" title="Sand D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Sand Dark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#E1DAC9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Bordures douces, séparateurs</w:t>
            </w:r>
          </w:p>
        </w:tc>
      </w:tr>
    </w:tbl>
    <w:p>
      <w:pPr>
        <w:pStyle w:val="Heading2"/>
        <w:spacing w:before="300" w:after="120"/>
      </w:pPr>
      <w:r>
        <w:t xml:space="preserve">Sémantiques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4238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Green" descr="Green" title="G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#1B8C5A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Succès, badge confiance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Green Light" descr="Green Light" title="Green L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Green Light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#E6F5ED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Background succès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Red" descr="Red" title="R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Red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#C93B3B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Erreur, alerte, litige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Red Light" descr="Red Light" title="Red L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Red Light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#FCEAEA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Background erreur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438150"/>
                  <wp:effectExtent t="0" r="0" b="0" l="0"/>
                  <wp:docPr id="1" name="Blue" descr="Blue" title="Bl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0"/>
                <w:szCs w:val="20"/>
              </w:rPr>
              <w:t xml:space="preserve">Blue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A8A8A"/>
                <w:sz w:val="18"/>
                <w:szCs w:val="18"/>
              </w:rPr>
              <w:t xml:space="preserve">#2B6CB0</w:t>
            </w:r>
          </w:p>
        </w:tc>
        <w:tc>
          <w:tcPr>
            <w:tcW w:type="dxa" w:w="4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8A8A8A"/>
                <w:sz w:val="18"/>
                <w:szCs w:val="18"/>
              </w:rPr>
              <w:t xml:space="preserve">Info, lien, véhicule</w:t>
            </w:r>
          </w:p>
        </w:tc>
      </w:tr>
    </w:tbl>
    <w:p>
      <w:pPr>
        <w:pStyle w:val="Heading2"/>
        <w:spacing w:before="300" w:after="120"/>
      </w:pPr>
      <w:r>
        <w:t xml:space="preserve">Contraste — WCAG AA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Ratio minimum 4.5:1 pour le texte standard. Ratio minimum 3:1 pour le texte large (18px bold ou 24px regular).</w:t>
      </w:r>
    </w:p>
    <w:p>
      <w:pPr>
        <w:spacing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10"/>
      </w:tblGrid>
      <w:tr>
        <w:tc>
          <w:tcPr>
            <w:tcW w:type="dxa" w:w="48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Ink sur White</w:t>
            </w:r>
          </w:p>
        </w:tc>
        <w:tc>
          <w:tcPr>
            <w:tcW w:type="dxa" w:w="241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62C"/>
                <w:sz w:val="18"/>
                <w:szCs w:val="18"/>
              </w:rPr>
              <w:t xml:space="preserve">15.2:1</w:t>
            </w:r>
          </w:p>
        </w:tc>
        <w:tc>
          <w:tcPr>
            <w:tcW w:type="dxa" w:w="241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8C5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48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Amber Dark sur White</w:t>
            </w:r>
          </w:p>
        </w:tc>
        <w:tc>
          <w:tcPr>
            <w:tcW w:type="dxa" w:w="241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62C"/>
                <w:sz w:val="18"/>
                <w:szCs w:val="18"/>
              </w:rPr>
              <w:t xml:space="preserve">5.8:1</w:t>
            </w:r>
          </w:p>
        </w:tc>
        <w:tc>
          <w:tcPr>
            <w:tcW w:type="dxa" w:w="241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8C5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48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White sur Amber</w:t>
            </w:r>
          </w:p>
        </w:tc>
        <w:tc>
          <w:tcPr>
            <w:tcW w:type="dxa" w:w="241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62C"/>
                <w:sz w:val="18"/>
                <w:szCs w:val="18"/>
              </w:rPr>
              <w:t xml:space="preserve">3.4:1</w:t>
            </w:r>
          </w:p>
        </w:tc>
        <w:tc>
          <w:tcPr>
            <w:tcW w:type="dxa" w:w="241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A66B0A"/>
                <w:sz w:val="18"/>
                <w:szCs w:val="18"/>
              </w:rPr>
              <w:t xml:space="preserve">Large text only</w:t>
            </w:r>
          </w:p>
        </w:tc>
      </w:tr>
      <w:tr>
        <w:tc>
          <w:tcPr>
            <w:tcW w:type="dxa" w:w="48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Green Dark sur White</w:t>
            </w:r>
          </w:p>
        </w:tc>
        <w:tc>
          <w:tcPr>
            <w:tcW w:type="dxa" w:w="241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362C"/>
                <w:sz w:val="18"/>
                <w:szCs w:val="18"/>
              </w:rPr>
              <w:t xml:space="preserve">5.1:1</w:t>
            </w:r>
          </w:p>
        </w:tc>
        <w:tc>
          <w:tcPr>
            <w:tcW w:type="dxa" w:w="241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8C5A"/>
                <w:sz w:val="18"/>
                <w:szCs w:val="18"/>
              </w:rPr>
              <w:t xml:space="preserve">Conforme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before="100"/>
      </w:pP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03</w:t>
      </w: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  ———</w:t>
      </w:r>
    </w:p>
    <w:p>
      <w:pPr>
        <w:pStyle w:val="Heading1"/>
        <w:spacing w:before="80" w:after="200"/>
      </w:pPr>
      <w:r>
        <w:t xml:space="preserve">Typographie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Trois familles typographiques complémentaires forment la hiérarchie visuelle de Pièces.</w:t>
      </w:r>
    </w:p>
    <w:p>
      <w:pPr>
        <w:spacing w:before="120" w:after="120"/>
      </w:pPr>
      <w:r>
        <w:drawing>
          <wp:inline distT="0" distB="0" distL="0" distR="0">
            <wp:extent cx="3619500" cy="609600"/>
            <wp:effectExtent t="0" r="0" b="0" l="0"/>
            <wp:docPr id="1" name="type_gloock.png" descr="type_gloock.png" title="type_glo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Gloock — Titres, logo, prix mis en avant, headings de sections. Tailles : 18–96px. Regular uniquement.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8A8A8A"/>
          <w:sz w:val="16"/>
          <w:szCs w:val="16"/>
        </w:rPr>
        <w:t xml:space="preserve">Utilisations : h1, h2, prix total, brand name</w:t>
      </w:r>
    </w:p>
    <w:p>
      <w:pPr>
        <w:spacing w:before="100"/>
      </w:pPr>
    </w:p>
    <w:p>
      <w:pPr>
        <w:spacing w:before="120" w:after="120"/>
      </w:pPr>
      <w:r>
        <w:drawing>
          <wp:inline distT="0" distB="0" distL="0" distR="0">
            <wp:extent cx="3619500" cy="609600"/>
            <wp:effectExtent t="0" r="0" b="0" l="0"/>
            <wp:docPr id="1" name="type_instrument_sans.png" descr="type_instrument_sans.png" title="type_instrument_sa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Instrument Sans — Corps de texte, labels, boutons, descriptions, sous-titres. Tailles : 11–23px. Graisses : Regular, Bold, Italic, Bold Italic.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8A8A8A"/>
          <w:sz w:val="16"/>
          <w:szCs w:val="16"/>
        </w:rPr>
        <w:t xml:space="preserve">Utilisations : paragraphes, boutons, navigation, badges</w:t>
      </w:r>
    </w:p>
    <w:p>
      <w:pPr>
        <w:spacing w:before="100"/>
      </w:pPr>
    </w:p>
    <w:p>
      <w:pPr>
        <w:spacing w:before="120" w:after="120"/>
      </w:pPr>
      <w:r>
        <w:drawing>
          <wp:inline distT="0" distB="0" distL="0" distR="0">
            <wp:extent cx="3619500" cy="609600"/>
            <wp:effectExtent t="0" r="0" b="0" l="0"/>
            <wp:docPr id="1" name="type_dm_mono.png" descr="type_dm_mono.png" title="type_dm_mo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DM Mono — Références OEM, VIN, codes techniques, données tabulaires. Tailles : 8–14px. Regular uniquement.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8A8A8A"/>
          <w:sz w:val="16"/>
          <w:szCs w:val="16"/>
        </w:rPr>
        <w:t xml:space="preserve">Utilisations : références pièces, numéros VIN, métadonnées</w:t>
      </w:r>
    </w:p>
    <w:p>
      <w:pPr>
        <w:pStyle w:val="Heading2"/>
        <w:spacing w:before="300" w:after="120"/>
      </w:pPr>
      <w:r>
        <w:t xml:space="preserve">Échelle typographique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2000"/>
      </w:tblGrid>
      <w:tr>
        <w:tc>
          <w:tcPr>
            <w:tcW w:type="dxa" w:w="7638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714"/>
                <w:sz w:val="28"/>
                <w:szCs w:val="28"/>
              </w:rPr>
              <w:t xml:space="preserve">H1 — Titre page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28px Gloock</w:t>
            </w:r>
          </w:p>
        </w:tc>
      </w:tr>
      <w:tr>
        <w:tc>
          <w:tcPr>
            <w:tcW w:type="dxa" w:w="7638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714"/>
                <w:sz w:val="22"/>
                <w:szCs w:val="22"/>
              </w:rPr>
              <w:t xml:space="preserve">H2 — Titre section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22px Gloock</w:t>
            </w:r>
          </w:p>
        </w:tc>
      </w:tr>
      <w:tr>
        <w:tc>
          <w:tcPr>
            <w:tcW w:type="dxa" w:w="7638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714"/>
                <w:sz w:val="16"/>
                <w:szCs w:val="16"/>
              </w:rPr>
              <w:t xml:space="preserve">H3 — Sous-titre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16px Bold</w:t>
            </w:r>
          </w:p>
        </w:tc>
      </w:tr>
      <w:tr>
        <w:tc>
          <w:tcPr>
            <w:tcW w:type="dxa" w:w="7638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714"/>
                <w:sz w:val="14"/>
                <w:szCs w:val="14"/>
              </w:rPr>
              <w:t xml:space="preserve">Body — Texte principal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14px Regular</w:t>
            </w:r>
          </w:p>
        </w:tc>
      </w:tr>
      <w:tr>
        <w:tc>
          <w:tcPr>
            <w:tcW w:type="dxa" w:w="7638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714"/>
                <w:sz w:val="12"/>
                <w:szCs w:val="12"/>
              </w:rPr>
              <w:t xml:space="preserve">Small — Labels, légendes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12px Regular</w:t>
            </w:r>
          </w:p>
        </w:tc>
      </w:tr>
      <w:tr>
        <w:tc>
          <w:tcPr>
            <w:tcW w:type="dxa" w:w="7638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714"/>
                <w:sz w:val="11"/>
                <w:szCs w:val="11"/>
              </w:rPr>
              <w:t xml:space="preserve">Mono — Références techniques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BEBEB" w:sz="1"/>
              <w:right w:val="none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A8A8A"/>
                <w:sz w:val="16"/>
                <w:szCs w:val="16"/>
              </w:rPr>
              <w:t xml:space="preserve">11px DM Mono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before="100"/>
      </w:pP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04</w:t>
      </w: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  ———</w:t>
      </w:r>
    </w:p>
    <w:p>
      <w:pPr>
        <w:pStyle w:val="Heading1"/>
        <w:spacing w:before="80" w:after="200"/>
      </w:pPr>
      <w:r>
        <w:t xml:space="preserve">Badges &amp; Composants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Le système de badges communique le type de pièce, le statut et le niveau de confiance de manière immédiate et cohérente.</w:t>
      </w:r>
    </w:p>
    <w:p>
      <w:pPr>
        <w:pStyle w:val="Heading2"/>
        <w:spacing w:before="300" w:after="120"/>
      </w:pPr>
      <w:r>
        <w:t xml:space="preserve">Type de pièce</w:t>
      </w:r>
    </w:p>
    <w:p>
      <w:pPr>
        <w:spacing w:before="120" w:after="120"/>
      </w:pPr>
      <w:r>
        <w:drawing>
          <wp:inline distT="0" distB="0" distL="0" distR="0">
            <wp:extent cx="3619500" cy="304800"/>
            <wp:effectExtent t="0" r="0" b="0" l="0"/>
            <wp:docPr id="1" name="badges_strip.png" descr="badges_strip.png" title="badges_str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66B0A"/>
                <w:sz w:val="20"/>
                <w:szCs w:val="20"/>
              </w:rPr>
              <w:t xml:space="preserve">NEUF · OEM</w:t>
            </w:r>
          </w:p>
        </w:tc>
        <w:tc>
          <w:tcPr>
            <w:tcW w:type="dxa" w:w="7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Pièce neuve d'origine constructeur — Badge ambre rempli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66B0A"/>
                <w:sz w:val="20"/>
                <w:szCs w:val="20"/>
              </w:rPr>
              <w:t xml:space="preserve">OCCASION</w:t>
            </w:r>
          </w:p>
        </w:tc>
        <w:tc>
          <w:tcPr>
            <w:tcW w:type="dxa" w:w="7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Pièce d'occasion vérifiée, garantie 30 jours — Contour ambre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66B0A"/>
                <w:sz w:val="20"/>
                <w:szCs w:val="20"/>
              </w:rPr>
              <w:t xml:space="preserve">AFTERMARKET</w:t>
            </w:r>
          </w:p>
        </w:tc>
        <w:tc>
          <w:tcPr>
            <w:tcW w:type="dxa" w:w="7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Pièce compatible non-OEM — Contour gris</w:t>
            </w:r>
          </w:p>
        </w:tc>
      </w:tr>
    </w:tbl>
    <w:p>
      <w:pPr>
        <w:pStyle w:val="Heading2"/>
        <w:spacing w:before="300" w:after="120"/>
      </w:pPr>
      <w:r>
        <w:t xml:space="preserve">Badges de statut</w:t>
      </w:r>
    </w:p>
    <w:p>
      <w:pPr>
        <w:spacing w:before="120" w:after="120"/>
      </w:pPr>
      <w:r>
        <w:drawing>
          <wp:inline distT="0" distB="0" distL="0" distR="0">
            <wp:extent cx="3619500" cy="304800"/>
            <wp:effectExtent t="0" r="0" b="0" l="0"/>
            <wp:docPr id="1" name="status_badges.png" descr="status_badges.png" title="status_bad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8C5A"/>
                <w:sz w:val="20"/>
                <w:szCs w:val="20"/>
              </w:rPr>
              <w:t xml:space="preserve">RCCM ✓</w:t>
            </w:r>
          </w:p>
        </w:tc>
        <w:tc>
          <w:tcPr>
            <w:tcW w:type="dxa" w:w="7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Vendeur avec registre de commerce vérifié — Green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8C5A"/>
                <w:sz w:val="20"/>
                <w:szCs w:val="20"/>
              </w:rPr>
              <w:t xml:space="preserve">BON MÉCANO</w:t>
            </w:r>
          </w:p>
        </w:tc>
        <w:tc>
          <w:tcPr>
            <w:tcW w:type="dxa" w:w="7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Note moyenne ≥ 4.2/5 sur ≥ 10 commandes évaluées — Green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8C5A"/>
                <w:sz w:val="20"/>
                <w:szCs w:val="20"/>
              </w:rPr>
              <w:t xml:space="preserve">VIN CONFIRMÉ</w:t>
            </w:r>
          </w:p>
        </w:tc>
        <w:tc>
          <w:tcPr>
            <w:tcW w:type="dxa" w:w="7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Véhicule identifié par numéro VIN — Blue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8C5A"/>
                <w:sz w:val="20"/>
                <w:szCs w:val="20"/>
              </w:rPr>
              <w:t xml:space="preserve">EN LITIGE</w:t>
            </w:r>
          </w:p>
        </w:tc>
        <w:tc>
          <w:tcPr>
            <w:tcW w:type="dxa" w:w="72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Commande en cours d'arbitrage — Red</w:t>
            </w:r>
          </w:p>
        </w:tc>
      </w:tr>
    </w:tbl>
    <w:p>
      <w:pPr>
        <w:pStyle w:val="Heading2"/>
        <w:spacing w:before="300" w:after="120"/>
      </w:pPr>
      <w:r>
        <w:t xml:space="preserve">Bloc prix transparent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Le prix est toujours décomposé : pièce + livraison = total. Jamais de total affiché sans le détail complet. C'est le principe fondateur de transparence de Pièces.</w:t>
      </w:r>
    </w:p>
    <w:p>
      <w:pPr>
        <w:spacing w:before="120" w:after="120"/>
      </w:pPr>
      <w:r>
        <w:drawing>
          <wp:inline distT="0" distB="0" distL="0" distR="0">
            <wp:extent cx="2857500" cy="800100"/>
            <wp:effectExtent t="0" r="0" b="0" l="0"/>
            <wp:docPr id="1" name="price_block.png" descr="price_block.png" title="price_b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20"/>
      </w:pPr>
      <w:r>
        <w:t xml:space="preserve">Boutons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Hauteur 48px minimum (44px touch target). Border-radius 14px. Texte Bold centré.</w:t>
      </w:r>
    </w:p>
    <w:p>
      <w:pPr>
        <w:spacing w:before="120" w:after="120"/>
      </w:pPr>
      <w:r>
        <w:drawing>
          <wp:inline distT="0" distB="0" distL="0" distR="0">
            <wp:extent cx="3429000" cy="1238250"/>
            <wp:effectExtent t="0" r="0" b="0" l="0"/>
            <wp:docPr id="1" name="buttons.png" descr="buttons.png" title="butt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before="100"/>
      </w:pP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05</w:t>
      </w: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  ———</w:t>
      </w:r>
    </w:p>
    <w:p>
      <w:pPr>
        <w:pStyle w:val="Heading1"/>
        <w:spacing w:before="80" w:after="200"/>
      </w:pPr>
      <w:r>
        <w:t xml:space="preserve">Espacement &amp; Grille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Système de grille basé sur un incrément de 4px. Les valeurs courantes sont définies ci-dessous.</w:t>
      </w:r>
    </w:p>
    <w:p>
      <w:pPr>
        <w:pStyle w:val="Heading2"/>
        <w:spacing w:before="300" w:after="120"/>
      </w:pPr>
      <w:r>
        <w:t xml:space="preserve">Valeurs d'espacement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66B0A"/>
                <w:sz w:val="20"/>
                <w:szCs w:val="20"/>
              </w:rPr>
              <w:t xml:space="preserve">4px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Micro — entre icône et texte inline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66B0A"/>
                <w:sz w:val="20"/>
                <w:szCs w:val="20"/>
              </w:rPr>
              <w:t xml:space="preserve">8px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Compact — gap entre badges, éléments serrés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66B0A"/>
                <w:sz w:val="20"/>
                <w:szCs w:val="20"/>
              </w:rPr>
              <w:t xml:space="preserve">12px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Standard — gap dans les cartes, entre lignes de détail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66B0A"/>
                <w:sz w:val="20"/>
                <w:szCs w:val="20"/>
              </w:rPr>
              <w:t xml:space="preserve">16px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Confortable — padding cartes mobile, gap colonnes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66B0A"/>
                <w:sz w:val="20"/>
                <w:szCs w:val="20"/>
              </w:rPr>
              <w:t xml:space="preserve">20px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Aéré — padding cartes desktop, séparations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66B0A"/>
                <w:sz w:val="20"/>
                <w:szCs w:val="20"/>
              </w:rPr>
              <w:t xml:space="preserve">32px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Section — entre blocs de contenu majeurs</w:t>
            </w:r>
          </w:p>
        </w:tc>
      </w:tr>
    </w:tbl>
    <w:p>
      <w:pPr>
        <w:pStyle w:val="Heading2"/>
        <w:spacing w:before="300" w:after="120"/>
      </w:pPr>
      <w:r>
        <w:t xml:space="preserve">Border Radius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880F"/>
                <w:sz w:val="20"/>
                <w:szCs w:val="20"/>
              </w:rPr>
              <w:t xml:space="preserve">4px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Badges, petits éléments interactifs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880F"/>
                <w:sz w:val="20"/>
                <w:szCs w:val="20"/>
              </w:rPr>
              <w:t xml:space="preserve">10px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Inputs, boutons secondaires, champs de formulaire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880F"/>
                <w:sz w:val="20"/>
                <w:szCs w:val="20"/>
              </w:rPr>
              <w:t xml:space="preserve">14px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Cartes, boutons CTA, panneaux principaux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880F"/>
                <w:sz w:val="20"/>
                <w:szCs w:val="20"/>
              </w:rPr>
              <w:t xml:space="preserve">20px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Bannières hero, blocs visuels majeurs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880F"/>
                <w:sz w:val="20"/>
                <w:szCs w:val="20"/>
              </w:rPr>
              <w:t xml:space="preserve">100px</w:t>
            </w:r>
          </w:p>
        </w:tc>
        <w:tc>
          <w:tcPr>
            <w:tcW w:type="dxa" w:w="84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C362C"/>
                <w:sz w:val="20"/>
                <w:szCs w:val="20"/>
              </w:rPr>
              <w:t xml:space="preserve">Pills, badges ronds, indicateurs circulaires</w:t>
            </w:r>
          </w:p>
        </w:tc>
      </w:tr>
    </w:tbl>
    <w:p>
      <w:pPr>
        <w:pStyle w:val="Heading2"/>
        <w:spacing w:before="300" w:after="120"/>
      </w:pPr>
      <w:r>
        <w:t xml:space="preserve">Touch Targets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Tous les éléments interactifs respectent une taille minimale de 44 × 44px (conformité mobile-first, écrans 5–6 pouces). Cela s'applique aux boutons, liens, icônes cliquables et éléments de liste.</w:t>
      </w:r>
    </w:p>
    <w:p>
      <w:pPr>
        <w:pStyle w:val="Heading2"/>
        <w:spacing w:before="300" w:after="120"/>
      </w:pPr>
      <w:r>
        <w:t xml:space="preserve">Iconographie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Style d'icônes : outline, stroke 2px, coins arrondis. Librairie recommandée : Lucide React (compatible Feather Icons). Les icônes sont toujours en couleur Ink ou Amber selon le contexte.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before="100"/>
      </w:pP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06</w:t>
      </w:r>
      <w:r>
        <w:rPr>
          <w:rFonts w:ascii="Courier New" w:cs="Courier New" w:eastAsia="Courier New" w:hAnsi="Courier New"/>
          <w:color w:val="D4880F"/>
          <w:sz w:val="20"/>
          <w:szCs w:val="20"/>
        </w:rPr>
        <w:t xml:space="preserve">  ———</w:t>
      </w:r>
    </w:p>
    <w:p>
      <w:pPr>
        <w:pStyle w:val="Heading1"/>
        <w:spacing w:before="80" w:after="200"/>
      </w:pPr>
      <w:r>
        <w:t xml:space="preserve">Illustrations &amp; Ton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Les illustrations de pièces auto sont un élément décoratif signature de la marque Pièces.</w:t>
      </w:r>
    </w:p>
    <w:p>
      <w:pPr>
        <w:pStyle w:val="Heading2"/>
        <w:spacing w:before="300" w:after="120"/>
      </w:pPr>
      <w:r>
        <w:t xml:space="preserve">Pièces auto en filigrane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Trait technique fin (stroke 1–2px), géométrique et précis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Couleurs : tons sable sur fond blanc, tons ambre sur fond sombre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Pièces représentées : engrenages, disque de frein, bougies, pistons, filtres, ressorts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Positionnement : coins et bordures, jamais au centre du contenu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Opacité réduite — les illustrations ne doivent jamais concurrencer le texte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Grille de fond : maillage 48px, trait très fin (0.3px), texture technique subtile</w:t>
      </w:r>
    </w:p>
    <w:p>
      <w:pPr>
        <w:pStyle w:val="Heading2"/>
        <w:spacing w:before="300" w:after="120"/>
      </w:pPr>
      <w:r>
        <w:t xml:space="preserve">Deux déclinaisons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Fond blanc : illustrations en tons sable/crème (#E1DAC9, #D0C8B8). Fond sombre : illustrations en tons ambre/sable atténués (#594835, #8C6C3C). Le disque de frein à droite peut recevoir un accent ambre plus prononcé.</w:t>
      </w:r>
    </w:p>
    <w:p>
      <w:pPr>
        <w:pStyle w:val="Heading2"/>
        <w:spacing w:before="300" w:after="120"/>
      </w:pPr>
      <w:r>
        <w:t xml:space="preserve">Ton de voix</w:t>
      </w:r>
    </w:p>
    <w:p>
      <w:pPr>
        <w:pStyle w:val="Heading3"/>
        <w:spacing w:before="100"/>
      </w:pPr>
      <w:r>
        <w:t xml:space="preserve">Direct et honnête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Pas de jargon marketing. Les prix sont les prix, les délais sont les délais.</w:t>
      </w:r>
    </w:p>
    <w:p>
      <w:pPr>
        <w:pStyle w:val="Heading3"/>
      </w:pPr>
      <w:r>
        <w:t xml:space="preserve">Technique mais accessible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Les mécaniciens reconnaissent la précision, les propriétaires comprennent l'essentiel.</w:t>
      </w:r>
    </w:p>
    <w:p>
      <w:pPr>
        <w:pStyle w:val="Heading3"/>
      </w:pPr>
      <w:r>
        <w:t xml:space="preserve">Confiance par la preuve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Badge « Bon Mécano » mérité, RCCM vérifiable, prix décomposé — pas de promesses vagues.</w:t>
      </w:r>
    </w:p>
    <w:p>
      <w:pPr>
        <w:pStyle w:val="Heading3"/>
      </w:pPr>
      <w:r>
        <w:t xml:space="preserve">Local et respectueux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Langue adaptée au contexte ivoirien. Pas de condescendance, pas d'imitation occidentale.</w:t>
      </w:r>
    </w:p>
    <w:p>
      <w:pPr>
        <w:pStyle w:val="Heading3"/>
      </w:pPr>
      <w:r>
        <w:t xml:space="preserve">Proactif en cas de problème</w:t>
      </w:r>
    </w:p>
    <w:p>
      <w:pPr>
        <w:spacing w:after="80"/>
      </w:pPr>
      <w:r>
        <w:rPr>
          <w:rFonts w:ascii="Calibri" w:cs="Calibri" w:eastAsia="Calibri" w:hAnsi="Calibri"/>
          <w:color w:val="3C362C"/>
          <w:sz w:val="21"/>
          <w:szCs w:val="21"/>
        </w:rPr>
        <w:t xml:space="preserve">SLA dépassé ? On le dit avant le client. Erreur ? On corrige, on ne se cache pas.</w:t>
      </w:r>
    </w:p>
    <w:p>
      <w:pPr>
        <w:pStyle w:val="Heading2"/>
        <w:spacing w:before="300" w:after="120"/>
      </w:pPr>
      <w:r>
        <w:t xml:space="preserve">Exemples de copie</w:t>
      </w:r>
    </w:p>
    <w:p>
      <w:pPr>
        <w:shd w:fill="E6F5ED" w:val="clear"/>
        <w:spacing w:before="80" w:after="40"/>
      </w:pPr>
      <w:r>
        <w:rPr>
          <w:rFonts w:ascii="Calibri" w:cs="Calibri" w:eastAsia="Calibri" w:hAnsi="Calibri"/>
          <w:b/>
          <w:bCs/>
          <w:color w:val="1B8C5A"/>
          <w:sz w:val="20"/>
          <w:szCs w:val="20"/>
        </w:rPr>
        <w:t xml:space="preserve"> ✓  </w:t>
      </w:r>
      <w:r>
        <w:rPr>
          <w:rFonts w:ascii="Calibri" w:cs="Calibri" w:eastAsia="Calibri" w:hAnsi="Calibri"/>
          <w:i/>
          <w:iCs/>
          <w:color w:val="3C362C"/>
          <w:sz w:val="20"/>
          <w:szCs w:val="20"/>
        </w:rPr>
        <w:t xml:space="preserve">« Vous payez : 45 000 FCFA pièce + 2 500 FCFA livraison = 47 500 FCFA total. »</w:t>
      </w:r>
    </w:p>
    <w:p>
      <w:pPr>
        <w:shd w:fill="FCEAEA" w:val="clear"/>
        <w:spacing w:after="40"/>
      </w:pPr>
      <w:r>
        <w:rPr>
          <w:rFonts w:ascii="Calibri" w:cs="Calibri" w:eastAsia="Calibri" w:hAnsi="Calibri"/>
          <w:b/>
          <w:bCs/>
          <w:color w:val="C93B3B"/>
          <w:sz w:val="20"/>
          <w:szCs w:val="20"/>
        </w:rPr>
        <w:t xml:space="preserve"> ✕  </w:t>
      </w:r>
      <w:r>
        <w:rPr>
          <w:rFonts w:ascii="Calibri" w:cs="Calibri" w:eastAsia="Calibri" w:hAnsi="Calibri"/>
          <w:i/>
          <w:iCs/>
          <w:color w:val="3C362C"/>
          <w:sz w:val="20"/>
          <w:szCs w:val="20"/>
        </w:rPr>
        <w:t xml:space="preserve">« Profitez de nos super offres exclusives sur les meilleures pièces du marché ! »</w:t>
      </w:r>
    </w:p>
    <w:p>
      <w:pPr>
        <w:shd w:fill="E6F5ED" w:val="clear"/>
        <w:spacing w:after="40"/>
      </w:pPr>
      <w:r>
        <w:rPr>
          <w:rFonts w:ascii="Calibri" w:cs="Calibri" w:eastAsia="Calibri" w:hAnsi="Calibri"/>
          <w:b/>
          <w:bCs/>
          <w:color w:val="1B8C5A"/>
          <w:sz w:val="20"/>
          <w:szCs w:val="20"/>
        </w:rPr>
        <w:t xml:space="preserve"> ✓  </w:t>
      </w:r>
      <w:r>
        <w:rPr>
          <w:rFonts w:ascii="Calibri" w:cs="Calibri" w:eastAsia="Calibri" w:hAnsi="Calibri"/>
          <w:i/>
          <w:iCs/>
          <w:color w:val="3C362C"/>
          <w:sz w:val="20"/>
          <w:szCs w:val="20"/>
        </w:rPr>
        <w:t xml:space="preserve">« Votre livraison #0031 a pris 2h15 au lieu de 1h30. Votre prochaine Express est offerte. »</w:t>
      </w:r>
    </w:p>
    <w:p>
      <w:pPr>
        <w:shd w:fill="FCEAEA" w:val="clear"/>
        <w:spacing w:after="40"/>
      </w:pPr>
      <w:r>
        <w:rPr>
          <w:rFonts w:ascii="Calibri" w:cs="Calibri" w:eastAsia="Calibri" w:hAnsi="Calibri"/>
          <w:b/>
          <w:bCs/>
          <w:color w:val="C93B3B"/>
          <w:sz w:val="20"/>
          <w:szCs w:val="20"/>
        </w:rPr>
        <w:t xml:space="preserve"> ✕  </w:t>
      </w:r>
      <w:r>
        <w:rPr>
          <w:rFonts w:ascii="Calibri" w:cs="Calibri" w:eastAsia="Calibri" w:hAnsi="Calibri"/>
          <w:i/>
          <w:iCs/>
          <w:color w:val="3C362C"/>
          <w:sz w:val="20"/>
          <w:szCs w:val="20"/>
        </w:rPr>
        <w:t xml:space="preserve">« Nous sommes désolés pour ce léger contretemps, nous ferons mieux la prochaine fois. »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880F" w:sz="4" w:space="6"/>
      </w:pBdr>
    </w:pPr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880F" w:sz="4" w:space="6"/>
      </w:pBdr>
      <w:tabs>
        <w:tab w:val="right" w:pos="9026"/>
      </w:tabs>
    </w:pPr>
    <w:r>
      <w:rPr>
        <w:rFonts w:ascii="Calibri" w:cs="Calibri" w:eastAsia="Calibri" w:hAnsi="Calibri"/>
        <w:color w:val="8A8A8A"/>
        <w:sz w:val="14"/>
        <w:szCs w:val="14"/>
      </w:rPr>
      <w:t xml:space="preserve">Pièces — Charte Graphique</w:t>
    </w:r>
    <w:r>
      <w:t xml:space="preserve">	</w:t>
    </w:r>
    <w:r>
      <w:rPr>
        <w:rFonts w:ascii="Calibri" w:cs="Calibri" w:eastAsia="Calibri" w:hAnsi="Calibri"/>
        <w:color w:val="8A8A8A"/>
        <w:sz w:val="14"/>
        <w:szCs w:val="14"/>
      </w:rPr>
      <w:t xml:space="preserve">Page </w:t>
    </w:r>
    <w:r>
      <w:rPr>
        <w:rFonts w:ascii="Calibri" w:cs="Calibri" w:eastAsia="Calibri" w:hAnsi="Calibri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8A8A8A"/>
        <w:sz w:val="16"/>
        <w:szCs w:val="16"/>
      </w:rPr>
      <w:t xml:space="preserve">Pièces — Charte Graphique v1.0</w:t>
    </w:r>
    <w: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outlineLvl w:val="0"/>
    </w:pPr>
    <w:rPr>
      <w:rFonts w:ascii="Georgia" w:cs="Georgia" w:eastAsia="Georgia" w:hAnsi="Georgia"/>
      <w:b/>
      <w:bCs/>
      <w:color w:val="1A1714"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A171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3C36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d90858f65dd12d9454d2b77cd1eb4a60f908ca02.png"/><Relationship Id="rId11" Type="http://schemas.openxmlformats.org/officeDocument/2006/relationships/image" Target="media/3b5d72099bcbcf2d09badfdc86279c7223a19e9f.png"/><Relationship Id="rId12" Type="http://schemas.openxmlformats.org/officeDocument/2006/relationships/image" Target="media/b385d0624c72d7de487bede41a7c8fb2858c38e1.png"/><Relationship Id="rId13" Type="http://schemas.openxmlformats.org/officeDocument/2006/relationships/image" Target="media/d0aae49edf89cbfac068256a74b2c7b32545dc14.png"/><Relationship Id="rId14" Type="http://schemas.openxmlformats.org/officeDocument/2006/relationships/image" Target="media/bcbd02a3904c92329fb313c47a5bb3d075657f34.png"/><Relationship Id="rId15" Type="http://schemas.openxmlformats.org/officeDocument/2006/relationships/image" Target="media/9aac80e4339af58d60d93a3781e2ffd49f03f879.png"/><Relationship Id="rId16" Type="http://schemas.openxmlformats.org/officeDocument/2006/relationships/image" Target="media/f291512a240bd0b9b22d9c5b679b870ea46aa700.png"/><Relationship Id="rId17" Type="http://schemas.openxmlformats.org/officeDocument/2006/relationships/image" Target="media/edf7bfd76e85ceea139d4147fe414c41ab06a4ea.png"/><Relationship Id="rId18" Type="http://schemas.openxmlformats.org/officeDocument/2006/relationships/image" Target="media/e7128f8df9b01e10407e8427cd9376c35561ca64.png"/><Relationship Id="rId19" Type="http://schemas.openxmlformats.org/officeDocument/2006/relationships/image" Target="media/cab619e2cccbeddd02f9b7c54067aa37951e48bc.png"/><Relationship Id="rId20" Type="http://schemas.openxmlformats.org/officeDocument/2006/relationships/image" Target="media/3a550326cb844b4a54c4b6a190576bbaa48ae3de.png"/><Relationship Id="rId21" Type="http://schemas.openxmlformats.org/officeDocument/2006/relationships/image" Target="media/ec096d3eda13707b94be668086c50bae7e647fe7.png"/><Relationship Id="rId22" Type="http://schemas.openxmlformats.org/officeDocument/2006/relationships/image" Target="media/f855042d011fc2aef9bf1d3ea8705ffc4ec372f4.png"/><Relationship Id="rId23" Type="http://schemas.openxmlformats.org/officeDocument/2006/relationships/image" Target="media/3a7ff5e1f00e500febabd814fb9aa9078dcf911d.png"/><Relationship Id="rId24" Type="http://schemas.openxmlformats.org/officeDocument/2006/relationships/image" Target="media/fbba448835572d7ef5ab0ca838f4176c766f8639.png"/><Relationship Id="rId25" Type="http://schemas.openxmlformats.org/officeDocument/2006/relationships/image" Target="media/33b81ed5771bcf0de90be1671a6f20489c028356.png"/><Relationship Id="rId26" Type="http://schemas.openxmlformats.org/officeDocument/2006/relationships/image" Target="media/3ee2619d84843c0025d82f2fed1dbfffe52a4f22.png"/><Relationship Id="rId27" Type="http://schemas.openxmlformats.org/officeDocument/2006/relationships/image" Target="media/e2e35c588a8519d308fe6ec8245034e4a2c84c3c.png"/><Relationship Id="rId28" Type="http://schemas.openxmlformats.org/officeDocument/2006/relationships/image" Target="media/d4454d1c5af796513d11f6987be5b508017e79e5.png"/><Relationship Id="rId29" Type="http://schemas.openxmlformats.org/officeDocument/2006/relationships/image" Target="media/cdb7e69fb4a58821853a9908cc31818f0d19dc4d.png"/><Relationship Id="rId30" Type="http://schemas.openxmlformats.org/officeDocument/2006/relationships/image" Target="media/38d3e7fb9f17b73b7d75429e18ace2611e4ff3bf.png"/><Relationship Id="rId31" Type="http://schemas.openxmlformats.org/officeDocument/2006/relationships/image" Target="media/010f4cbdb8090160da09b97e68480a10d91e0c5a.png"/><Relationship Id="rId32" Type="http://schemas.openxmlformats.org/officeDocument/2006/relationships/image" Target="media/f2803d840b0fc744ebbd0ed3f00ee5d28d81b894.png"/><Relationship Id="rId3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2026-03-08T14:25:18.979Z</dcterms:created>
  <dcterms:modified xsi:type="dcterms:W3CDTF">2026-03-08T14:25:18.980Z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