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ièces-entreprises--brochure-commerciale"/>
    <w:p>
      <w:pPr>
        <w:pStyle w:val="Heading1"/>
      </w:pPr>
      <w:r>
        <w:t xml:space="preserve">Pièces Entreprises — Brochure commerciale</w:t>
      </w:r>
    </w:p>
    <w:p>
      <w:pPr>
        <w:pStyle w:val="FirstParagraph"/>
      </w:pPr>
      <w:r>
        <w:t xml:space="preserve">Édition de juin 2026 — packaging Flotte Pro à trois niveaux, avec gestion des chauffeurs</w:t>
      </w:r>
    </w:p>
    <w:p>
      <w:pPr>
        <w:pStyle w:val="BodyText"/>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SLA monétisé, livraisons 3 h chrono,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(prix flat, pas de paliers)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 ou le suivi de vos chauffeurs —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ou si vous gérez des chauffeurs sans savoir véhicule par véhicule qui rapporte et qui coûte,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savez pas quel chauffeur ni quel véhicule est réellement rentable.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gestion-des-chauffeurs-nouveau"/>
    <w:p>
      <w:pPr>
        <w:pStyle w:val="Heading2"/>
      </w:pPr>
      <w:r>
        <w:t xml:space="preserve">Gestion des chauffeurs</w:t>
      </w:r>
      <w:r>
        <w:t xml:space="preserve"> </w:t>
      </w:r>
      <w:r>
        <w:rPr>
          <w:i/>
          <w:iCs/>
        </w:rPr>
        <w:t xml:space="preserve">(nouveau)</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Suivi des incidents</w:t>
      </w:r>
      <w:r>
        <w:t xml:space="preserve"> </w:t>
      </w:r>
      <w:r>
        <w:t xml:space="preserve">: accident, infraction, panne, plainte client — chacun horodaté, qualifié par gravité (faible / moyenne / élevée) et chiffré (coût estimé). Fini les incidents oubliés.</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27"/>
    <w:bookmarkStart w:id="28" w:name="espace-chauffeur-en-self-service-nouveau"/>
    <w:p>
      <w:pPr>
        <w:pStyle w:val="Heading2"/>
      </w:pPr>
      <w:r>
        <w:t xml:space="preserve">Espace chauffeur en self-service</w:t>
      </w:r>
      <w:r>
        <w:t xml:space="preserve"> </w:t>
      </w:r>
      <w:r>
        <w:rPr>
          <w:i/>
          <w:iCs/>
        </w:rPr>
        <w:t xml:space="preserve">(nouveau)</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28"/>
    <w:bookmarkStart w:id="29"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29"/>
    <w:bookmarkStart w:id="30"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30"/>
    <w:bookmarkStart w:id="31" w:name="service"/>
    <w:p>
      <w:pPr>
        <w:pStyle w:val="Heading2"/>
      </w:pPr>
      <w:r>
        <w:t xml:space="preserve">Service</w:t>
      </w:r>
    </w:p>
    <w:p>
      <w:pPr>
        <w:pStyle w:val="Compact"/>
        <w:numPr>
          <w:ilvl w:val="0"/>
          <w:numId w:val="1008"/>
        </w:numPr>
      </w:pPr>
      <w:r>
        <w:t xml:space="preserve">Devis PDF et PDF historique véhicule signés Pièces — arguments forts à la revente</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31"/>
    <w:bookmarkStart w:id="32"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flat (pas de paliers). Flotte Pro + remplace Flotte Pro — vous ne cumulez pas les deux. Exemple flotte 20 véhicules :</w:t>
      </w:r>
      <w:r>
        <w:t xml:space="preserve"> </w:t>
      </w:r>
      <w:r>
        <w:rPr>
          <w:b/>
          <w:bCs/>
        </w:rPr>
        <w:t xml:space="preserve">200 000 F/mois tout compris</w:t>
      </w:r>
      <w:r>
        <w:t xml:space="preserve">, vs 100 000 F en Flotte Pro seul.</w:t>
      </w:r>
    </w:p>
    <w:bookmarkEnd w:id="32"/>
    <w:bookmarkStart w:id="33" w:name="à-abidjan"/>
    <w:p>
      <w:pPr>
        <w:pStyle w:val="Heading2"/>
      </w:pPr>
      <w:r>
        <w:t xml:space="preserve">À Abidjan</w:t>
      </w:r>
    </w:p>
    <w:p>
      <w:pPr>
        <w:pStyle w:val="Compact"/>
        <w:numPr>
          <w:ilvl w:val="0"/>
          <w:numId w:val="1009"/>
        </w:numPr>
      </w:pPr>
      <w:r>
        <w:t xml:space="preserve">Livraison 3 h chrono garantie quand la pièce est en stock chez un vendeur partenaire</w:t>
      </w:r>
    </w:p>
    <w:p>
      <w:pPr>
        <w:pStyle w:val="Compact"/>
        <w:numPr>
          <w:ilvl w:val="0"/>
          <w:numId w:val="1009"/>
        </w:numPr>
      </w:pPr>
      <w:r>
        <w:t xml:space="preserve">5 livraisons express incluses par mois — au-delà, 1 500 F par livraison supplémentaire</w:t>
      </w:r>
    </w:p>
    <w:p>
      <w:pPr>
        <w:pStyle w:val="Compact"/>
        <w:numPr>
          <w:ilvl w:val="0"/>
          <w:numId w:val="1009"/>
        </w:numPr>
      </w:pPr>
      <w:r>
        <w:t xml:space="preserve">SLA monétisé : remboursement intégral des frais + 5 000 F de crédit en cas de breach</w:t>
      </w:r>
    </w:p>
    <w:bookmarkEnd w:id="33"/>
    <w:bookmarkStart w:id="34" w:name="X1c31d2420759491e2cfd071f53a2aee588449bf"/>
    <w:p>
      <w:pPr>
        <w:pStyle w:val="Heading2"/>
      </w:pPr>
      <w:r>
        <w:t xml:space="preserve">Hors Abidjan (San-Pédro, Bouaké, Yamoussoukro, Korhogo…)</w:t>
      </w:r>
    </w:p>
    <w:p>
      <w:pPr>
        <w:pStyle w:val="Compact"/>
        <w:numPr>
          <w:ilvl w:val="0"/>
          <w:numId w:val="1010"/>
        </w:numPr>
      </w:pPr>
      <w:r>
        <w:t xml:space="preserve">Livraison J+1 garantie au lieu de J+2 ou J+3 en standard</w:t>
      </w:r>
    </w:p>
    <w:p>
      <w:pPr>
        <w:pStyle w:val="Compact"/>
        <w:numPr>
          <w:ilvl w:val="0"/>
          <w:numId w:val="1010"/>
        </w:numPr>
      </w:pPr>
      <w:r>
        <w:t xml:space="preserve">2 livraisons J+1 incluses par mois</w:t>
      </w:r>
    </w:p>
    <w:p>
      <w:pPr>
        <w:pStyle w:val="Compact"/>
        <w:numPr>
          <w:ilvl w:val="0"/>
          <w:numId w:val="1010"/>
        </w:numPr>
      </w:pPr>
      <w:r>
        <w:t xml:space="preserve">SLA monétisé partout en Côte d'Ivoire, pas seulement à Abidjan</w:t>
      </w:r>
    </w:p>
    <w:bookmarkEnd w:id="34"/>
    <w:bookmarkStart w:id="35"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35"/>
    <w:bookmarkStart w:id="36"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3 h chrono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J+1 garantie hors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6"/>
    <w:bookmarkStart w:id="37"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7"/>
    <w:bookmarkStart w:id="38" w:name="garantie-roi-à-3-mois"/>
    <w:p>
      <w:pPr>
        <w:pStyle w:val="Heading2"/>
      </w:pPr>
      <w:r>
        <w:t xml:space="preserve">Garantie ROI à 3 mois</w:t>
      </w:r>
    </w:p>
    <w:p>
      <w:pPr>
        <w:pStyle w:val="FirstParagraph"/>
      </w:pPr>
      <w:r>
        <w:t xml:space="preserve">Si à 3 mois Flotte Pro ne vous a pas fait économiser au moins l'équivalent de l'abonnement, vous repassez en gratuit et nous vous remboursons la dernière mensualité. Nous prenons le risque.</w:t>
      </w:r>
    </w:p>
    <w:bookmarkEnd w:id="38"/>
    <w:bookmarkStart w:id="39"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services administratifs et les flottes structurées.</w:t>
      </w:r>
    </w:p>
    <w:bookmarkEnd w:id="39"/>
    <w:bookmarkStart w:id="40"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40"/>
    <w:bookmarkStart w:id="41"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1"/>
    <w:bookmarkStart w:id="42"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42"/>
    <w:bookmarkStart w:id="43"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43"/>
    <w:bookmarkStart w:id="45" w:name="contact"/>
    <w:p>
      <w:pPr>
        <w:pStyle w:val="Heading2"/>
      </w:pPr>
      <w:r>
        <w:t xml:space="preserve">Contact</w:t>
      </w:r>
    </w:p>
    <w:p>
      <w:pPr>
        <w:pStyle w:val="FirstParagraph"/>
      </w:pPr>
      <w:r>
        <w:t xml:space="preserve">Pièces.ci — Marketplace pièces auto et solutions flotte Abidjan, Côte d'Ivoire</w:t>
      </w:r>
      <w:r>
        <w:t xml:space="preserve"> </w:t>
      </w:r>
      <w:hyperlink r:id="rId44">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4"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2026-06-04T06:42:42Z</dcterms:created>
  <dcterms:modified xsi:type="dcterms:W3CDTF">2026-06-04T06:42:42Z</dcterms:modified>
</cp:coreProperties>
</file>

<file path=docProps/custom.xml><?xml version="1.0" encoding="utf-8"?>
<Properties xmlns="http://schemas.openxmlformats.org/officeDocument/2006/custom-properties" xmlns:vt="http://schemas.openxmlformats.org/officeDocument/2006/docPropsVTypes"/>
</file>