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(SLA 3 h chrono Abidjan, J+1 garanti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d'entretien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garantie 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J+1 garantie hors Abidjan</w:t>
      </w:r>
      <w:r>
        <w:t xml:space="preserve"> </w:t>
      </w:r>
      <w:r>
        <w:t xml:space="preserve">(San-Pédro, Bouaké, Yamoussoukro, Korhogo) vs J+2/J+3 standard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SLA monétisé</w:t>
      </w:r>
      <w:r>
        <w:t xml:space="preserve"> </w:t>
      </w:r>
      <w:r>
        <w:t xml:space="preserve">: remboursement intégral des frais + 5 000 F de crédit par breach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6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979e0091f43d5b7553da9fcd223890a6ebc986c"/>
    <w:p>
      <w:pPr>
        <w:pStyle w:val="Heading2"/>
      </w:pPr>
      <w:r>
        <w:t xml:space="preserve">4. Engagements de service (SLA)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 chrono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J+1 hors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J+1 ouvré</w:t>
            </w:r>
            <w:r>
              <w:t xml:space="preserve"> </w:t>
            </w:r>
            <w:r>
              <w:t xml:space="preserve">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Pénalité SLA breach</w:t>
            </w:r>
          </w:p>
        </w:tc>
        <w:tc>
          <w:tcPr/>
          <w:p>
            <w:pPr>
              <w:pStyle w:val="Compact"/>
            </w:pPr>
            <w:r>
              <w:t xml:space="preserve">Remboursement intégral des frais de livraison + 5 000 F de crédit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7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7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7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8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8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9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9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9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9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9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9"/>
        </w:numPr>
      </w:pPr>
      <w:r>
        <w:t xml:space="preserve">Bascule des chauffeurs sur l'application et saisie de la recette quotidienne dès le premier jour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10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10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10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1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1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1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du SLA 3 h chrono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2026-06-04T06:43:21Z</dcterms:created>
  <dcterms:modified xsi:type="dcterms:W3CDTF">2026-06-04T06:43:21Z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