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amilles-de-pièces--poids--volumes"/>
    <w:p>
      <w:pPr>
        <w:pStyle w:val="Heading1"/>
      </w:pPr>
      <w:r>
        <w:t xml:space="preserve">Familles de pièces — poids &amp; volumes</w:t>
      </w:r>
    </w:p>
    <w:bookmarkStart w:id="20" w:name="règles-de-taxation"/>
    <w:p>
      <w:pPr>
        <w:pStyle w:val="Heading2"/>
      </w:pPr>
      <w:r>
        <w:t xml:space="preserve">Règles de taxation</w:t>
      </w:r>
    </w:p>
    <w:p>
      <w:pPr>
        <w:pStyle w:val="FirstParagraph"/>
      </w:pPr>
      <w:r>
        <w:t xml:space="preserve">Le transporteur facture le maximum entre le poids réel et le volume converti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Aérien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poids taxable = max(poids réel, L×l×h cm ÷ 6000)</w:t>
      </w:r>
      <w:r>
        <w:t xml:space="preserve"> </w:t>
      </w:r>
      <w:r>
        <w:t xml:space="preserve">— soit</w:t>
      </w:r>
      <w:r>
        <w:t xml:space="preserve"> </w:t>
      </w:r>
      <w:r>
        <w:rPr>
          <w:b/>
          <w:bCs/>
        </w:rPr>
        <w:t xml:space="preserve">1 m³ = 167 kg</w:t>
      </w:r>
      <w:r>
        <w:t xml:space="preserve"> </w:t>
      </w:r>
      <w:r>
        <w:t xml:space="preserve">(1 dm³ = 0,167 kg).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Maritime groupé (LCL)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max(poids réel en tonnes, volume en m³)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 m³ = 1 t</w:t>
      </w:r>
      <w:r>
        <w:t xml:space="preserve"> </w:t>
      </w:r>
      <w:r>
        <w:t xml:space="preserve">(1 dm³ = 1 kg).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/ pré-positionné</w:t>
      </w:r>
      <w:r>
        <w:t xml:space="preserve"> </w:t>
      </w:r>
      <w:r>
        <w:t xml:space="preserve">: poids réel, frais de manutention forfaitaires.</w:t>
      </w:r>
    </w:p>
    <w:p>
      <w:pPr>
        <w:pStyle w:val="FirstParagraph"/>
      </w:pPr>
      <w:r>
        <w:t xml:space="preserve">La colonne « Poste dominant » indique, en prenant la borne haute de chaque fourchette, si la famille est facturée au poids ou au volume en fret aérien — c'est ce qui détermine l'économie de l'envoi.</w:t>
      </w:r>
    </w:p>
    <w:bookmarkEnd w:id="20"/>
    <w:bookmarkStart w:id="21" w:name="les-17-familles"/>
    <w:p>
      <w:pPr>
        <w:pStyle w:val="Heading2"/>
      </w:pPr>
      <w:r>
        <w:t xml:space="preserve">Les 17 familles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Famille</w:t>
            </w:r>
          </w:p>
        </w:tc>
        <w:tc>
          <w:tcPr/>
          <w:p>
            <w:pPr>
              <w:pStyle w:val="Compact"/>
            </w:pPr>
            <w:r>
              <w:t xml:space="preserve">Poids (kg)</w:t>
            </w:r>
          </w:p>
        </w:tc>
        <w:tc>
          <w:tcPr/>
          <w:p>
            <w:pPr>
              <w:pStyle w:val="Compact"/>
            </w:pPr>
            <w:r>
              <w:t xml:space="preserve">Volume (dm³)</w:t>
            </w:r>
          </w:p>
        </w:tc>
        <w:tc>
          <w:tcPr/>
          <w:p>
            <w:pPr>
              <w:pStyle w:val="Compact"/>
            </w:pPr>
            <w:r>
              <w:t xml:space="preserve">Taxable aérien (kg, max)</w:t>
            </w:r>
          </w:p>
        </w:tc>
        <w:tc>
          <w:tcPr/>
          <w:p>
            <w:pPr>
              <w:pStyle w:val="Compact"/>
            </w:pPr>
            <w:r>
              <w:t xml:space="preserve">Poste dominant</w:t>
            </w:r>
          </w:p>
        </w:tc>
        <w:tc>
          <w:tcPr/>
          <w:p>
            <w:pPr>
              <w:pStyle w:val="Compact"/>
            </w:pPr>
            <w:r>
              <w:t xml:space="preserve">Contraintes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Filtres</w:t>
            </w:r>
            <w:r>
              <w:t xml:space="preserve"> </w:t>
            </w:r>
            <w:r>
              <w:t xml:space="preserve">(huile, air, habitacle)</w:t>
            </w:r>
          </w:p>
        </w:tc>
        <w:tc>
          <w:tcPr/>
          <w:p>
            <w:pPr>
              <w:pStyle w:val="Compact"/>
            </w:pPr>
            <w:r>
              <w:t xml:space="preserve">0,2 – 1,5</w:t>
            </w:r>
          </w:p>
        </w:tc>
        <w:tc>
          <w:tcPr/>
          <w:p>
            <w:pPr>
              <w:pStyle w:val="Compact"/>
            </w:pPr>
            <w:r>
              <w:t xml:space="preserve">1 – 6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Plaquettes de frein</w:t>
            </w:r>
            <w:r>
              <w:t xml:space="preserve"> </w:t>
            </w:r>
            <w:r>
              <w:t xml:space="preserve">(jeu)</w:t>
            </w:r>
          </w:p>
        </w:tc>
        <w:tc>
          <w:tcPr/>
          <w:p>
            <w:pPr>
              <w:pStyle w:val="Compact"/>
            </w:pPr>
            <w:r>
              <w:t xml:space="preserve">1,5 – 4</w:t>
            </w:r>
          </w:p>
        </w:tc>
        <w:tc>
          <w:tcPr/>
          <w:p>
            <w:pPr>
              <w:pStyle w:val="Compact"/>
            </w:pPr>
            <w:r>
              <w:t xml:space="preserve">2 – 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Disques de frein</w:t>
            </w:r>
            <w:r>
              <w:t xml:space="preserve"> </w:t>
            </w:r>
            <w:r>
              <w:t xml:space="preserve">(paire)</w:t>
            </w:r>
          </w:p>
        </w:tc>
        <w:tc>
          <w:tcPr/>
          <w:p>
            <w:pPr>
              <w:pStyle w:val="Compact"/>
            </w:pPr>
            <w:r>
              <w:t xml:space="preserve">8 – 14</w:t>
            </w:r>
          </w:p>
        </w:tc>
        <w:tc>
          <w:tcPr/>
          <w:p>
            <w:pPr>
              <w:pStyle w:val="Compact"/>
            </w:pPr>
            <w:r>
              <w:t xml:space="preserve">8 – 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Amortisseur</w:t>
            </w:r>
            <w:r>
              <w:t xml:space="preserve"> </w:t>
            </w:r>
            <w:r>
              <w:t xml:space="preserve">(unité)</w:t>
            </w:r>
          </w:p>
        </w:tc>
        <w:tc>
          <w:tcPr/>
          <w:p>
            <w:pPr>
              <w:pStyle w:val="Compact"/>
            </w:pPr>
            <w:r>
              <w:t xml:space="preserve">3 – 6</w:t>
            </w:r>
          </w:p>
        </w:tc>
        <w:tc>
          <w:tcPr/>
          <w:p>
            <w:pPr>
              <w:pStyle w:val="Compact"/>
            </w:pPr>
            <w:r>
              <w:t xml:space="preserve">10 – 18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⚠️ Restreint aérien (gaz)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 roulant</w:t>
            </w:r>
            <w:r>
              <w:t xml:space="preserve"> </w:t>
            </w:r>
            <w:r>
              <w:t xml:space="preserve">(bras, rotule, silentbloc, roulement)</w:t>
            </w:r>
          </w:p>
        </w:tc>
        <w:tc>
          <w:tcPr/>
          <w:p>
            <w:pPr>
              <w:pStyle w:val="Compact"/>
            </w:pPr>
            <w:r>
              <w:t xml:space="preserve">2 – 9</w:t>
            </w:r>
          </w:p>
        </w:tc>
        <w:tc>
          <w:tcPr/>
          <w:p>
            <w:pPr>
              <w:pStyle w:val="Compact"/>
            </w:pPr>
            <w:r>
              <w:t xml:space="preserve">5 – 20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Alternateur / démarreur</w:t>
            </w:r>
          </w:p>
        </w:tc>
        <w:tc>
          <w:tcPr/>
          <w:p>
            <w:pPr>
              <w:pStyle w:val="Compact"/>
            </w:pPr>
            <w:r>
              <w:t xml:space="preserve">3 – 8</w:t>
            </w:r>
          </w:p>
        </w:tc>
        <w:tc>
          <w:tcPr/>
          <w:p>
            <w:pPr>
              <w:pStyle w:val="Compact"/>
            </w:pPr>
            <w:r>
              <w:t xml:space="preserve">6 – 12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 embrayage</w:t>
            </w:r>
          </w:p>
        </w:tc>
        <w:tc>
          <w:tcPr/>
          <w:p>
            <w:pPr>
              <w:pStyle w:val="Compact"/>
            </w:pPr>
            <w:r>
              <w:t xml:space="preserve">8 – 14</w:t>
            </w:r>
          </w:p>
        </w:tc>
        <w:tc>
          <w:tcPr/>
          <w:p>
            <w:pPr>
              <w:pStyle w:val="Compact"/>
            </w:pPr>
            <w:r>
              <w:t xml:space="preserve">12 – 20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Radiateur / condenseur</w:t>
            </w:r>
          </w:p>
        </w:tc>
        <w:tc>
          <w:tcPr/>
          <w:p>
            <w:pPr>
              <w:pStyle w:val="Compact"/>
            </w:pPr>
            <w:r>
              <w:t xml:space="preserve">5 – 10</w:t>
            </w:r>
          </w:p>
        </w:tc>
        <w:tc>
          <w:tcPr/>
          <w:p>
            <w:pPr>
              <w:pStyle w:val="Compact"/>
            </w:pPr>
            <w:r>
              <w:t xml:space="preserve">40 – 70</w:t>
            </w:r>
          </w:p>
        </w:tc>
        <w:tc>
          <w:tcPr/>
          <w:p>
            <w:pPr>
              <w:pStyle w:val="Compact"/>
            </w:pPr>
            <w:r>
              <w:t xml:space="preserve">11,7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Phare / optique</w:t>
            </w:r>
          </w:p>
        </w:tc>
        <w:tc>
          <w:tcPr/>
          <w:p>
            <w:pPr>
              <w:pStyle w:val="Compact"/>
            </w:pPr>
            <w:r>
              <w:t xml:space="preserve">2 – 5</w:t>
            </w:r>
          </w:p>
        </w:tc>
        <w:tc>
          <w:tcPr/>
          <w:p>
            <w:pPr>
              <w:pStyle w:val="Compact"/>
            </w:pPr>
            <w:r>
              <w:t xml:space="preserve">25 – 45</w:t>
            </w:r>
          </w:p>
        </w:tc>
        <w:tc>
          <w:tcPr/>
          <w:p>
            <w:pPr>
              <w:pStyle w:val="Compact"/>
            </w:pPr>
            <w:r>
              <w:t xml:space="preserve">7,5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⚠️ Fragile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Pare-chocs</w:t>
            </w:r>
          </w:p>
        </w:tc>
        <w:tc>
          <w:tcPr/>
          <w:p>
            <w:pPr>
              <w:pStyle w:val="Compact"/>
            </w:pPr>
            <w:r>
              <w:t xml:space="preserve">5 – 9</w:t>
            </w:r>
          </w:p>
        </w:tc>
        <w:tc>
          <w:tcPr/>
          <w:p>
            <w:pPr>
              <w:pStyle w:val="Compact"/>
            </w:pPr>
            <w:r>
              <w:t xml:space="preserve">150 – 250</w:t>
            </w:r>
          </w:p>
        </w:tc>
        <w:tc>
          <w:tcPr/>
          <w:p>
            <w:pPr>
              <w:pStyle w:val="Compact"/>
            </w:pPr>
            <w:r>
              <w:t xml:space="preserve">41,7</w:t>
            </w:r>
          </w:p>
        </w:tc>
        <w:tc>
          <w:tcPr/>
          <w:p>
            <w:pPr>
              <w:pStyle w:val="Compact"/>
            </w:pPr>
            <w:r>
              <w:t xml:space="preserve">Volume (×4,6)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Capot / aile / portière</w:t>
            </w:r>
          </w:p>
        </w:tc>
        <w:tc>
          <w:tcPr/>
          <w:p>
            <w:pPr>
              <w:pStyle w:val="Compact"/>
            </w:pPr>
            <w:r>
              <w:t xml:space="preserve">10 – 20</w:t>
            </w:r>
          </w:p>
        </w:tc>
        <w:tc>
          <w:tcPr/>
          <w:p>
            <w:pPr>
              <w:pStyle w:val="Compact"/>
            </w:pPr>
            <w:r>
              <w:t xml:space="preserve">120 – 300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Volume (×2,5)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Pare-brise / vitrage</w:t>
            </w:r>
          </w:p>
        </w:tc>
        <w:tc>
          <w:tcPr/>
          <w:p>
            <w:pPr>
              <w:pStyle w:val="Compact"/>
            </w:pPr>
            <w:r>
              <w:t xml:space="preserve">12 – 20</w:t>
            </w:r>
          </w:p>
        </w:tc>
        <w:tc>
          <w:tcPr/>
          <w:p>
            <w:pPr>
              <w:pStyle w:val="Compact"/>
            </w:pPr>
            <w:r>
              <w:t xml:space="preserve">60 – 100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⚠️ Fragile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Batterie de démarrage</w:t>
            </w:r>
          </w:p>
        </w:tc>
        <w:tc>
          <w:tcPr/>
          <w:p>
            <w:pPr>
              <w:pStyle w:val="Compact"/>
            </w:pPr>
            <w:r>
              <w:t xml:space="preserve">14 – 22</w:t>
            </w:r>
          </w:p>
        </w:tc>
        <w:tc>
          <w:tcPr/>
          <w:p>
            <w:pPr>
              <w:pStyle w:val="Compact"/>
            </w:pPr>
            <w:r>
              <w:t xml:space="preserve">12 – 18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⚠️ Restreint aérien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Pneumatique</w:t>
            </w:r>
          </w:p>
        </w:tc>
        <w:tc>
          <w:tcPr/>
          <w:p>
            <w:pPr>
              <w:pStyle w:val="Compact"/>
            </w:pPr>
            <w:r>
              <w:t xml:space="preserve">8 – 14</w:t>
            </w:r>
          </w:p>
        </w:tc>
        <w:tc>
          <w:tcPr/>
          <w:p>
            <w:pPr>
              <w:pStyle w:val="Compact"/>
            </w:pPr>
            <w:r>
              <w:t xml:space="preserve">60 – 90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Boîte de vitesses</w:t>
            </w:r>
          </w:p>
        </w:tc>
        <w:tc>
          <w:tcPr/>
          <w:p>
            <w:pPr>
              <w:pStyle w:val="Compact"/>
            </w:pPr>
            <w:r>
              <w:t xml:space="preserve">45 – 90</w:t>
            </w:r>
          </w:p>
        </w:tc>
        <w:tc>
          <w:tcPr/>
          <w:p>
            <w:pPr>
              <w:pStyle w:val="Compact"/>
            </w:pPr>
            <w:r>
              <w:t xml:space="preserve">90 – 150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Moteur complet</w:t>
            </w:r>
          </w:p>
        </w:tc>
        <w:tc>
          <w:tcPr/>
          <w:p>
            <w:pPr>
              <w:pStyle w:val="Compact"/>
            </w:pPr>
            <w:r>
              <w:t xml:space="preserve">120 – 250</w:t>
            </w:r>
          </w:p>
        </w:tc>
        <w:tc>
          <w:tcPr/>
          <w:p>
            <w:pPr>
              <w:pStyle w:val="Compact"/>
            </w:pPr>
            <w:r>
              <w:t xml:space="preserve">250 – 400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Composant haute tension (EV)</w:t>
            </w:r>
            <w:r>
              <w:t xml:space="preserve"> </w:t>
            </w:r>
            <w:r>
              <w:t xml:space="preserve">— onduleur, chargeur embarqué, convertisseur</w:t>
            </w:r>
          </w:p>
        </w:tc>
        <w:tc>
          <w:tcPr/>
          <w:p>
            <w:pPr>
              <w:pStyle w:val="Compact"/>
            </w:pPr>
            <w:r>
              <w:t xml:space="preserve">5 – 40</w:t>
            </w:r>
          </w:p>
        </w:tc>
        <w:tc>
          <w:tcPr/>
          <w:p>
            <w:pPr>
              <w:pStyle w:val="Compact"/>
            </w:pPr>
            <w:r>
              <w:t xml:space="preserve">20 – 120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⚠️ Restreint aérien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Taxable aérien (kg, max)</w:t>
      </w:r>
      <w:r>
        <w:t xml:space="preserve"> </w:t>
      </w:r>
      <w:r>
        <w:t xml:space="preserve">: poids taxable maximal en fret aérien, soit</w:t>
      </w:r>
      <w:r>
        <w:t xml:space="preserve"> </w:t>
      </w:r>
      <w:r>
        <w:rPr>
          <w:rStyle w:val="VerbatimChar"/>
        </w:rPr>
        <w:t xml:space="preserve">max(poids max, volume max ÷ 6)</w:t>
      </w:r>
      <w:r>
        <w:t xml:space="preserve">. Quand le volume domine, la colonne indique le facteur de multiplication du poids facturé vs le poids réel.</w:t>
      </w:r>
    </w:p>
    <w:p>
      <w:pPr>
        <w:pStyle w:val="BodyText"/>
      </w:pPr>
      <w:r>
        <w:t xml:space="preserve">Pièce ne correspondant à aucune famille : gabarit moyen par défaut —</w:t>
      </w:r>
      <w:r>
        <w:t xml:space="preserve"> </w:t>
      </w:r>
      <w:r>
        <w:rPr>
          <w:b/>
          <w:bCs/>
        </w:rPr>
        <w:t xml:space="preserve">3 – 12 kg / 10 – 40 dm³</w:t>
      </w:r>
      <w:r>
        <w:t xml:space="preserve"> </w:t>
      </w:r>
      <w:r>
        <w:t xml:space="preserve">(confiance « famille », estimation ± 20 % affichée au client).</w:t>
      </w:r>
    </w:p>
    <w:bookmarkEnd w:id="21"/>
    <w:bookmarkStart w:id="22" w:name="contraintes-spécifiques"/>
    <w:p>
      <w:pPr>
        <w:pStyle w:val="Heading2"/>
      </w:pPr>
      <w:r>
        <w:t xml:space="preserve">Contraintes spécifiques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Restreint aérien</w:t>
      </w:r>
      <w:r>
        <w:t xml:space="preserve"> </w:t>
      </w:r>
      <w:r>
        <w:t xml:space="preserve">(</w:t>
      </w:r>
      <w:r>
        <w:rPr>
          <w:rStyle w:val="VerbatimChar"/>
        </w:rPr>
        <w:t xml:space="preserve">airRestricted</w:t>
      </w:r>
      <w:r>
        <w:t xml:space="preserve">) : batteries de démarrage, composants haute tension EV, amortisseurs à gaz — interdits ou fortement surtaxés en fret aérien ; à confirmer avec le transitaire avant tout devis. Le moteur affiche l'avertissement « Matière restreinte en fret aérien » sur les options aériennes concernées.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Fragile</w:t>
      </w:r>
      <w:r>
        <w:t xml:space="preserve"> </w:t>
      </w:r>
      <w:r>
        <w:t xml:space="preserve">: phares / optiques, pare-brise et vitrages — emballage renforcé et assurance recommandés sur tout envoi importé.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Sans marché de la casse</w:t>
      </w:r>
      <w:r>
        <w:t xml:space="preserve"> </w:t>
      </w:r>
      <w:r>
        <w:t xml:space="preserve">: les composants haute tension EV (onduleur, chargeur embarqué, câblage HV) sont chers, spécifiques, et absents du marché de l'occasion — candidats prioritaires au pré-positionnement maritime.</w:t>
      </w:r>
    </w:p>
    <w:bookmarkEnd w:id="22"/>
    <w:bookmarkStart w:id="23" w:name="niveaux-de-confiance-de-lestimation"/>
    <w:p>
      <w:pPr>
        <w:pStyle w:val="Heading2"/>
      </w:pPr>
      <w:r>
        <w:t xml:space="preserve">Niveaux de confiance de l'estimation</w:t>
      </w:r>
    </w:p>
    <w:p>
      <w:pPr>
        <w:pStyle w:val="FirstParagraph"/>
      </w:pPr>
      <w:r>
        <w:t xml:space="preserve">Trois niveaux, affichés au client dans la matrice d'arbitrage 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MEASURED</w:t>
      </w:r>
      <w:r>
        <w:t xml:space="preserve"> </w:t>
      </w:r>
      <w:r>
        <w:t xml:space="preserve">— la pièce a été pesée sur un envoi précédent ; le devis peut être instantané et ferme.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CATALOG</w:t>
      </w:r>
      <w:r>
        <w:t xml:space="preserve"> </w:t>
      </w:r>
      <w:r>
        <w:t xml:space="preserve">— fiche technique fournisseur.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FAMILY</w:t>
      </w:r>
      <w:r>
        <w:t xml:space="preserve"> </w:t>
      </w:r>
      <w:r>
        <w:t xml:space="preserve">— fourchette du référentiel ci-dessus ; affiché « estimation, ± 20 % », jamais un prix ferme présenté comme ferme.</w:t>
      </w:r>
    </w:p>
    <w:p>
      <w:pPr>
        <w:pStyle w:val="FirstParagraph"/>
      </w:pPr>
      <w:r>
        <w:t xml:space="preserve">Chaque envoi réel fait passer les familles concernées de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MEASURED</w:t>
      </w:r>
      <w:r>
        <w:t xml:space="preserve"> </w:t>
      </w:r>
      <w:r>
        <w:t xml:space="preserve">: le référentiel est un actif qui se construit tout seul.</w:t>
      </w:r>
    </w:p>
    <w:bookmarkEnd w:id="23"/>
    <w:bookmarkStart w:id="24" w:name="Xabc85361711bc73972f4bb49b21669469e48c7a"/>
    <w:p>
      <w:pPr>
        <w:pStyle w:val="Heading2"/>
      </w:pPr>
      <w:r>
        <w:t xml:space="preserve">En pratique — ce que la table change sur l'arbitrage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 pièces volumineuses pénalisent l'aérien, pas le maritime.</w:t>
      </w:r>
      <w:r>
        <w:t xml:space="preserve"> </w:t>
      </w:r>
      <w:r>
        <w:t xml:space="preserve">Un pare-chocs de 9 kg est facturé 41,7 kg en avion mais 0,25 m³ en groupé — c'est la famille où le maritime groupé écrase le plus l'aérien. Pare-chocs, capots, ailes, portières et pneus : à importer</w:t>
      </w:r>
      <w:r>
        <w:t xml:space="preserve"> </w:t>
      </w:r>
      <w:r>
        <w:rPr>
          <w:b/>
          <w:bCs/>
        </w:rPr>
        <w:t xml:space="preserve">par anticipation, en LCL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 pièces denses voyagent mal en bateau, bien en avion.</w:t>
      </w:r>
      <w:r>
        <w:t xml:space="preserve"> </w:t>
      </w:r>
      <w:r>
        <w:t xml:space="preserve">Moteurs, boîtes, alternateurs, batteries : facturés au poids réel dans les deux cas, le surcoût aérien est limité au différentiel du tarif au kg.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 3 familles à restriction aérienne verrouillent le réactif.</w:t>
      </w:r>
      <w:r>
        <w:t xml:space="preserve"> </w:t>
      </w:r>
      <w:r>
        <w:t xml:space="preserve">Si une batterie de traction ou un amortisseur à gaz ne passe pas en fret aérien, il n'y a pas d'option rapide — le pré-positionnement devient la seule réponse possible.</w:t>
      </w:r>
    </w:p>
    <w:bookmarkEnd w:id="24"/>
    <w:bookmarkStart w:id="25" w:name="référence-technique"/>
    <w:p>
      <w:pPr>
        <w:pStyle w:val="Heading2"/>
      </w:pPr>
      <w:r>
        <w:t xml:space="preserve">Référence technique</w:t>
      </w:r>
    </w:p>
    <w:p>
      <w:pPr>
        <w:pStyle w:val="FirstParagraph"/>
      </w:pPr>
      <w:r>
        <w:t xml:space="preserve">Source de vérité du référentiel :</w:t>
      </w:r>
      <w:r>
        <w:t xml:space="preserve"> </w:t>
      </w:r>
      <w:r>
        <w:rPr>
          <w:rStyle w:val="VerbatimChar"/>
        </w:rPr>
        <w:t xml:space="preserve">packages/shared/constants/logistics.ts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PART_LOGISTICS_FAMILIES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chargeableWeightKg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computeArbitrageMatrix</w:t>
      </w:r>
      <w:r>
        <w:t xml:space="preserve">). Spécification complète du service :</w:t>
      </w:r>
      <w:r>
        <w:t xml:space="preserve"> </w:t>
      </w:r>
      <w:r>
        <w:rPr>
          <w:rStyle w:val="VerbatimChar"/>
        </w:rPr>
        <w:t xml:space="preserve">docs/logistique-as-a-service.md</w:t>
      </w:r>
      <w:r>
        <w:t xml:space="preserve"> </w:t>
      </w:r>
      <w:r>
        <w:t xml:space="preserve">(§3 « Codification poids / volume »). Fourchettes à affiner avec les premiers envois réels (phase 1 livrée, juillet 2026).</w:t>
      </w:r>
    </w:p>
    <w:p>
      <w:pPr>
        <w:pStyle w:val="BodyText"/>
      </w:pPr>
      <w:r>
        <w:rPr>
          <w:i/>
          <w:iCs/>
        </w:rPr>
        <w:t xml:space="preserve">Document interne Pièces — logistique.pieces.ci · Référentiel v1 · Juillet 2026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2026-07-30T08:03:34Z</dcterms:created>
  <dcterms:modified xsi:type="dcterms:W3CDTF">2026-07-30T08:03:34Z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