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6" w:name="support--sav--manuel-dutilisation"/>
    <w:p>
      <w:pPr>
        <w:pStyle w:val="Heading1"/>
      </w:pPr>
      <w:r>
        <w:t xml:space="preserve">Support &amp; SAV — Manuel d'utilisation</w:t>
      </w:r>
    </w:p>
    <w:bookmarkStart w:id="20" w:name="à-quoi-sert-le-module"/>
    <w:p>
      <w:pPr>
        <w:pStyle w:val="Heading2"/>
      </w:pPr>
      <w:r>
        <w:t xml:space="preserve">À quoi sert le module</w:t>
      </w:r>
    </w:p>
    <w:p>
      <w:pPr>
        <w:pStyle w:val="FirstParagraph"/>
      </w:pPr>
      <w:r>
        <w:t xml:space="preserve">Le module « Support &amp; SAV » est le</w:t>
      </w:r>
      <w:r>
        <w:t xml:space="preserve"> </w:t>
      </w:r>
      <w:r>
        <w:rPr>
          <w:b/>
          <w:bCs/>
        </w:rPr>
        <w:t xml:space="preserve">poste de commande du service après-vente</w:t>
      </w:r>
      <w:r>
        <w:t xml:space="preserve">. Avant lui, les litiges et les retours n'avaient ni liste d'ensemble ni fiche de traitement : il fallait fouiller commande par commande. Il répond à trois besoins 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Tout voir</w:t>
      </w:r>
      <w:r>
        <w:t xml:space="preserve"> </w:t>
      </w:r>
      <w:r>
        <w:t xml:space="preserve">: la liste complète des litiges et des retours de la plateforme, avec leurs statuts, filtrable et cherchable.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Traiter avec méthode</w:t>
      </w:r>
      <w:r>
        <w:t xml:space="preserve"> </w:t>
      </w:r>
      <w:r>
        <w:t xml:space="preserve">: chaque dossier suit un chemin balisé — un litige est pris en charge, résolu par écrit, puis clôturé ; un retour avance étape par étape, sans transition impossible.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Rembourser proprement</w:t>
      </w:r>
      <w:r>
        <w:t xml:space="preserve"> </w:t>
      </w:r>
      <w:r>
        <w:t xml:space="preserve">: au statut « Remboursé », le séquestre de la commande est automatiquement remboursé au client s'il était encore bloqué, et le client est prévenu par WhatsApp.</w:t>
      </w:r>
    </w:p>
    <w:p>
      <w:pPr>
        <w:pStyle w:val="FirstParagraph"/>
      </w:pPr>
      <w:r>
        <w:rPr>
          <w:b/>
          <w:bCs/>
        </w:rPr>
        <w:t xml:space="preserve">Accès.</w:t>
      </w:r>
      <w:r>
        <w:t xml:space="preserve"> </w:t>
      </w:r>
      <w:r>
        <w:t xml:space="preserve">Espace</w:t>
      </w:r>
      <w:r>
        <w:t xml:space="preserve"> </w:t>
      </w:r>
      <w:r>
        <w:rPr>
          <w:b/>
          <w:bCs/>
        </w:rPr>
        <w:t xml:space="preserve">Administration</w:t>
      </w:r>
      <w:r>
        <w:t xml:space="preserve"> </w:t>
      </w:r>
      <w:r>
        <w:t xml:space="preserve">→ entrée</w:t>
      </w:r>
      <w:r>
        <w:t xml:space="preserve"> </w:t>
      </w:r>
      <w:r>
        <w:rPr>
          <w:b/>
          <w:bCs/>
        </w:rPr>
        <w:t xml:space="preserve">« SAV »</w:t>
      </w:r>
      <w:r>
        <w:t xml:space="preserve"> </w:t>
      </w:r>
      <w:r>
        <w:t xml:space="preserve">dans la barre latérale. Le module est réservé aux membres de l'équipe Pièces habilités Administration. Il s'organise en deux onglets :</w:t>
      </w:r>
      <w:r>
        <w:t xml:space="preserve"> </w:t>
      </w:r>
      <w:r>
        <w:rPr>
          <w:b/>
          <w:bCs/>
        </w:rPr>
        <w:t xml:space="preserve">Litiges</w:t>
      </w:r>
      <w:r>
        <w:t xml:space="preserve"> </w:t>
      </w:r>
      <w:r>
        <w:t xml:space="preserve">et</w:t>
      </w:r>
      <w:r>
        <w:t xml:space="preserve"> </w:t>
      </w:r>
      <w:r>
        <w:rPr>
          <w:b/>
          <w:bCs/>
        </w:rPr>
        <w:t xml:space="preserve">Retours</w:t>
      </w:r>
      <w:r>
        <w:t xml:space="preserve">.</w:t>
      </w:r>
    </w:p>
    <w:bookmarkEnd w:id="20"/>
    <w:bookmarkStart w:id="23" w:name="onglet-litiges"/>
    <w:p>
      <w:pPr>
        <w:pStyle w:val="Heading2"/>
      </w:pPr>
      <w:r>
        <w:t xml:space="preserve">Onglet Litiges</w:t>
      </w:r>
    </w:p>
    <w:bookmarkStart w:id="21" w:name="les-six-cartes-cockpit"/>
    <w:p>
      <w:pPr>
        <w:pStyle w:val="Heading3"/>
      </w:pPr>
      <w:r>
        <w:t xml:space="preserve">Les six cartes (cockpit)</w:t>
      </w:r>
    </w:p>
    <w:p>
      <w:pPr>
        <w:pStyle w:val="FirstParagraph"/>
      </w:pPr>
      <w:r>
        <w:t xml:space="preserve">En haut de l'onglet, la photographie instantanée du SAV 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Litiges ouverts</w:t>
      </w:r>
      <w:r>
        <w:t xml:space="preserve"> </w:t>
      </w:r>
      <w:r>
        <w:t xml:space="preserve">— en attente de prise en charge. C'est la file d'attente prioritaire : chaque matin commence ici.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En cours d'examen</w:t>
      </w:r>
      <w:r>
        <w:t xml:space="preserve"> </w:t>
      </w:r>
      <w:r>
        <w:t xml:space="preserve">— pris en charge, pas encore résolus.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Résolus · 30 j</w:t>
      </w:r>
      <w:r>
        <w:t xml:space="preserve"> </w:t>
      </w:r>
      <w:r>
        <w:t xml:space="preserve">— litiges résolus sur les 30 derniers jours (votre production).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Retours demandés</w:t>
      </w:r>
      <w:r>
        <w:t xml:space="preserve"> </w:t>
      </w:r>
      <w:r>
        <w:t xml:space="preserve">— retours au premier statut, en attente d'acceptation.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Retours en cours</w:t>
      </w:r>
      <w:r>
        <w:t xml:space="preserve"> </w:t>
      </w:r>
      <w:r>
        <w:t xml:space="preserve">— acceptés, récupérés ou inspectés, pas encore conclus.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Remboursé · 30 j</w:t>
      </w:r>
      <w:r>
        <w:t xml:space="preserve"> </w:t>
      </w:r>
      <w:r>
        <w:t xml:space="preserve">— montant total remboursé sur 30 jours, avec le nombre de retours concernés.</w:t>
      </w:r>
    </w:p>
    <w:bookmarkEnd w:id="21"/>
    <w:bookmarkStart w:id="22" w:name="la-table-des-litiges"/>
    <w:p>
      <w:pPr>
        <w:pStyle w:val="Heading3"/>
      </w:pPr>
      <w:r>
        <w:t xml:space="preserve">La table des litiges</w:t>
      </w:r>
    </w:p>
    <w:p>
      <w:pPr>
        <w:pStyle w:val="FirstParagraph"/>
      </w:pPr>
      <w:r>
        <w:t xml:space="preserve">Une ligne par litige, le plus récent en haut : date, commande (numéro court + montant), plaignant (nom + téléphone), raison (tronquée — survolez pour tout lire), statut (pastille colorée), et le lien</w:t>
      </w:r>
      <w:r>
        <w:t xml:space="preserve"> </w:t>
      </w:r>
      <w:r>
        <w:rPr>
          <w:b/>
          <w:bCs/>
        </w:rPr>
        <w:t xml:space="preserve">« Fiche »</w:t>
      </w:r>
      <w:r>
        <w:t xml:space="preserve">. La recherche accepte un extrait de la raison ou un numéro de commande ; les pastilles de statut filtrent la liste (combinaison recherche + statut possible) ; la pagination avance par pages de 20.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Statut</w:t>
            </w:r>
          </w:p>
        </w:tc>
        <w:tc>
          <w:tcPr/>
          <w:p>
            <w:pPr>
              <w:pStyle w:val="Compact"/>
            </w:pPr>
            <w:r>
              <w:t xml:space="preserve">Signification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Ouvert</w:t>
            </w:r>
          </w:p>
        </w:tc>
        <w:tc>
          <w:tcPr/>
          <w:p>
            <w:pPr>
              <w:pStyle w:val="Compact"/>
            </w:pPr>
            <w:r>
              <w:t xml:space="preserve">Nouveau, personne ne s'en occupe encore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En cours d'examen</w:t>
            </w:r>
          </w:p>
        </w:tc>
        <w:tc>
          <w:tcPr/>
          <w:p>
            <w:pPr>
              <w:pStyle w:val="Compact"/>
            </w:pPr>
            <w:r>
              <w:t xml:space="preserve">Pris en charge par l'équipe, analyse en cours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Résolu (client)</w:t>
            </w:r>
          </w:p>
        </w:tc>
        <w:tc>
          <w:tcPr/>
          <w:p>
            <w:pPr>
              <w:pStyle w:val="Compact"/>
            </w:pPr>
            <w:r>
              <w:t xml:space="preserve">Tranché en faveur du client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Résolu (vendeur)</w:t>
            </w:r>
          </w:p>
        </w:tc>
        <w:tc>
          <w:tcPr/>
          <w:p>
            <w:pPr>
              <w:pStyle w:val="Compact"/>
            </w:pPr>
            <w:r>
              <w:t xml:space="preserve">Tranché en faveur du vendeur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Clôturé</w:t>
            </w:r>
          </w:p>
        </w:tc>
        <w:tc>
          <w:tcPr/>
          <w:p>
            <w:pPr>
              <w:pStyle w:val="Compact"/>
            </w:pPr>
            <w:r>
              <w:t xml:space="preserve">Dossier fermé définitivement</w:t>
            </w:r>
          </w:p>
        </w:tc>
      </w:tr>
    </w:tbl>
    <w:bookmarkEnd w:id="22"/>
    <w:bookmarkEnd w:id="23"/>
    <w:bookmarkStart w:id="24" w:name="traiter-un-litige-pas-à-pas"/>
    <w:p>
      <w:pPr>
        <w:pStyle w:val="Heading2"/>
      </w:pPr>
      <w:r>
        <w:t xml:space="preserve">Traiter un litige, pas à pas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Ouvrez la fiche</w:t>
      </w:r>
      <w:r>
        <w:t xml:space="preserve"> </w:t>
      </w:r>
      <w:r>
        <w:t xml:space="preserve">depuis la table. Vous y trouvez la raison complète, les preuves jointes, le plaignant, et dans le panneau de droite toute la commande : articles avec vendeur et condition de la pièce, montants, statut,</w:t>
      </w:r>
      <w:r>
        <w:t xml:space="preserve"> </w:t>
      </w:r>
      <w:r>
        <w:rPr>
          <w:b/>
          <w:bCs/>
        </w:rPr>
        <w:t xml:space="preserve">séquestre</w:t>
      </w:r>
      <w:r>
        <w:t xml:space="preserve"> </w:t>
      </w:r>
      <w:r>
        <w:t xml:space="preserve">(bloqué, libéré ou remboursé).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« Prendre en charge »</w:t>
      </w:r>
      <w:r>
        <w:t xml:space="preserve"> </w:t>
      </w:r>
      <w:r>
        <w:t xml:space="preserve">(litige ouvert) — le litige passe</w:t>
      </w:r>
      <w:r>
        <w:t xml:space="preserve"> </w:t>
      </w:r>
      <w:r>
        <w:rPr>
          <w:i/>
          <w:iCs/>
        </w:rPr>
        <w:t xml:space="preserve">En cours d'examen</w:t>
      </w:r>
      <w:r>
        <w:t xml:space="preserve"> </w:t>
      </w:r>
      <w:r>
        <w:t xml:space="preserve">: l'équipe sait que quelqu'un est dessus. Appelez le client et/ou le vendeur (téléphones sur la fiche), examinez les preuves.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« Résoudre »</w:t>
      </w:r>
      <w:r>
        <w:t xml:space="preserve"> </w:t>
      </w:r>
      <w:r>
        <w:t xml:space="preserve">(ouvert ou en cours d'examen) — le formulaire demande deux choses :</w:t>
      </w:r>
      <w:r>
        <w:t xml:space="preserve"> </w:t>
      </w:r>
      <w:r>
        <w:rPr>
          <w:b/>
          <w:bCs/>
        </w:rPr>
        <w:t xml:space="preserve">en faveur de qui</w:t>
      </w:r>
      <w:r>
        <w:t xml:space="preserve"> </w:t>
      </w:r>
      <w:r>
        <w:t xml:space="preserve">(client ou vendeur) et la</w:t>
      </w:r>
      <w:r>
        <w:t xml:space="preserve"> </w:t>
      </w:r>
      <w:r>
        <w:rPr>
          <w:b/>
          <w:bCs/>
        </w:rPr>
        <w:t xml:space="preserve">résolution écrite</w:t>
      </w:r>
      <w:r>
        <w:t xml:space="preserve">. Rédigez-la avec soin : elle est envoyée au plaignant par WhatsApp et reste dans l'historique. Faits, décision, suite concrète (« remboursement en cours », « échange expédié mardi ») — jamais de généralités.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« Clôturer »</w:t>
      </w:r>
      <w:r>
        <w:t xml:space="preserve"> </w:t>
      </w:r>
      <w:r>
        <w:t xml:space="preserve">(en cours d'examen ou résolu) — ferme le dossier. Une confirmation vous est demandée : la clôture est définitive.</w:t>
      </w:r>
    </w:p>
    <w:bookmarkEnd w:id="24"/>
    <w:bookmarkStart w:id="28" w:name="onglet-retours"/>
    <w:p>
      <w:pPr>
        <w:pStyle w:val="Heading2"/>
      </w:pPr>
      <w:r>
        <w:t xml:space="preserve">Onglet Retours</w:t>
      </w:r>
    </w:p>
    <w:p>
      <w:pPr>
        <w:pStyle w:val="FirstParagraph"/>
      </w:pPr>
      <w:r>
        <w:t xml:space="preserve">La table des retours fonctionne comme celle des litiges (recherche, filtres de statut, pagination) : date de demande, commande, demandeur, motif (Défectueux, Mauvaise pièce, Non conforme, Plus besoin, Autre), statut, montant remboursé, lien</w:t>
      </w:r>
      <w:r>
        <w:t xml:space="preserve"> </w:t>
      </w:r>
      <w:r>
        <w:rPr>
          <w:b/>
          <w:bCs/>
        </w:rPr>
        <w:t xml:space="preserve">« Fiche »</w:t>
      </w:r>
      <w:r>
        <w:t xml:space="preserve">.</w:t>
      </w:r>
    </w:p>
    <w:bookmarkStart w:id="25" w:name="la-chaîne-dun-retour"/>
    <w:p>
      <w:pPr>
        <w:pStyle w:val="Heading3"/>
      </w:pPr>
      <w:r>
        <w:t xml:space="preserve">La chaîne d'un retour</w:t>
      </w:r>
    </w:p>
    <w:p>
      <w:pPr>
        <w:pStyle w:val="FirstParagraph"/>
      </w:pPr>
      <w:r>
        <w:t xml:space="preserve">Un retour avance toujours dans le même ordre — jamais de raccourci :</w:t>
      </w:r>
    </w:p>
    <w:p>
      <w:pPr>
        <w:pStyle w:val="BodyText"/>
      </w:pPr>
      <w:r>
        <w:rPr>
          <w:b/>
          <w:bCs/>
        </w:rPr>
        <w:t xml:space="preserve">Demandé → Accepté → Récupéré → Inspecté → Remboursé</w:t>
      </w:r>
      <w:r>
        <w:t xml:space="preserve"> </w:t>
      </w:r>
      <w:r>
        <w:t xml:space="preserve">(ou</w:t>
      </w:r>
      <w:r>
        <w:t xml:space="preserve"> </w:t>
      </w:r>
      <w:r>
        <w:rPr>
          <w:b/>
          <w:bCs/>
        </w:rPr>
        <w:t xml:space="preserve">Rejeté</w:t>
      </w:r>
      <w:r>
        <w:t xml:space="preserve"> </w:t>
      </w:r>
      <w:r>
        <w:t xml:space="preserve">après inspection) — avec</w:t>
      </w:r>
      <w:r>
        <w:t xml:space="preserve"> </w:t>
      </w:r>
      <w:r>
        <w:rPr>
          <w:b/>
          <w:bCs/>
        </w:rPr>
        <w:t xml:space="preserve">Annulé</w:t>
      </w:r>
      <w:r>
        <w:t xml:space="preserve"> </w:t>
      </w:r>
      <w:r>
        <w:t xml:space="preserve">possible depuis</w:t>
      </w:r>
      <w:r>
        <w:t xml:space="preserve"> </w:t>
      </w:r>
      <w:r>
        <w:rPr>
          <w:i/>
          <w:iCs/>
        </w:rPr>
        <w:t xml:space="preserve">Demandé</w:t>
      </w:r>
      <w:r>
        <w:t xml:space="preserve"> </w:t>
      </w:r>
      <w:r>
        <w:t xml:space="preserve">ou</w:t>
      </w:r>
      <w:r>
        <w:t xml:space="preserve"> </w:t>
      </w:r>
      <w:r>
        <w:rPr>
          <w:i/>
          <w:iCs/>
        </w:rPr>
        <w:t xml:space="preserve">Accepté</w:t>
      </w:r>
      <w:r>
        <w:t xml:space="preserve">.</w:t>
      </w:r>
    </w:p>
    <w:p>
      <w:pPr>
        <w:pStyle w:val="BodyText"/>
      </w:pPr>
      <w:r>
        <w:t xml:space="preserve">Sur la fiche retour, le bouton</w:t>
      </w:r>
      <w:r>
        <w:t xml:space="preserve"> </w:t>
      </w:r>
      <w:r>
        <w:rPr>
          <w:b/>
          <w:bCs/>
        </w:rPr>
        <w:t xml:space="preserve">« Faire avancer »</w:t>
      </w:r>
      <w:r>
        <w:t xml:space="preserve"> </w:t>
      </w:r>
      <w:r>
        <w:t xml:space="preserve">ne propose que les statuts suivants autorisés pour l'étape en cours — impossible de se tromper de transition. À chaque passage, l'étape est horodatée (visible dans l'encadré « Étapes ») et vous pouvez joindre une</w:t>
      </w:r>
      <w:r>
        <w:t xml:space="preserve"> </w:t>
      </w:r>
      <w:r>
        <w:rPr>
          <w:b/>
          <w:bCs/>
        </w:rPr>
        <w:t xml:space="preserve">note de résolution</w:t>
      </w:r>
      <w:r>
        <w:t xml:space="preserve"> </w:t>
      </w:r>
      <w:r>
        <w:t xml:space="preserve">(visible dans l'historique).</w:t>
      </w:r>
    </w:p>
    <w:bookmarkEnd w:id="25"/>
    <w:bookmarkStart w:id="26" w:name="rembourser-pas-à-pas"/>
    <w:p>
      <w:pPr>
        <w:pStyle w:val="Heading3"/>
      </w:pPr>
      <w:r>
        <w:t xml:space="preserve">Rembourser, pas à pas</w:t>
      </w:r>
    </w:p>
    <w:p>
      <w:pPr>
        <w:pStyle w:val="Compact"/>
        <w:numPr>
          <w:ilvl w:val="0"/>
          <w:numId w:val="1004"/>
        </w:numPr>
      </w:pPr>
      <w:r>
        <w:t xml:space="preserve">Le retour doit être au statut</w:t>
      </w:r>
      <w:r>
        <w:t xml:space="preserve"> </w:t>
      </w:r>
      <w:r>
        <w:rPr>
          <w:b/>
          <w:bCs/>
        </w:rPr>
        <w:t xml:space="preserve">Inspecté</w:t>
      </w:r>
      <w:r>
        <w:t xml:space="preserve"> </w:t>
      </w:r>
      <w:r>
        <w:t xml:space="preserve">: la pièce est entre nos mains, vérifiée.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« Faire avancer »</w:t>
      </w:r>
      <w:r>
        <w:t xml:space="preserve"> </w:t>
      </w:r>
      <w:r>
        <w:t xml:space="preserve">→ statut</w:t>
      </w:r>
      <w:r>
        <w:t xml:space="preserve"> </w:t>
      </w:r>
      <w:r>
        <w:rPr>
          <w:b/>
          <w:bCs/>
        </w:rPr>
        <w:t xml:space="preserve">« Remboursé »</w:t>
      </w:r>
      <w:r>
        <w:t xml:space="preserve"> </w:t>
      </w:r>
      <w:r>
        <w:t xml:space="preserve">: le champ</w:t>
      </w:r>
      <w:r>
        <w:t xml:space="preserve"> </w:t>
      </w:r>
      <w:r>
        <w:rPr>
          <w:b/>
          <w:bCs/>
        </w:rPr>
        <w:t xml:space="preserve">montant remboursé (FCFA)</w:t>
      </w:r>
      <w:r>
        <w:t xml:space="preserve"> </w:t>
      </w:r>
      <w:r>
        <w:t xml:space="preserve">apparaît — il est</w:t>
      </w:r>
      <w:r>
        <w:t xml:space="preserve"> </w:t>
      </w:r>
      <w:r>
        <w:rPr>
          <w:b/>
          <w:bCs/>
        </w:rPr>
        <w:t xml:space="preserve">obligatoire</w:t>
      </w:r>
      <w:r>
        <w:t xml:space="preserve">. Saisissez le montant exact convenu (total ou partiel).</w:t>
      </w:r>
    </w:p>
    <w:p>
      <w:pPr>
        <w:pStyle w:val="Compact"/>
        <w:numPr>
          <w:ilvl w:val="0"/>
          <w:numId w:val="1004"/>
        </w:numPr>
      </w:pPr>
      <w:r>
        <w:t xml:space="preserve">Un bandeau vous rappelle les conséquences avant de confirmer : le séquestre de la commande, s'il est encore bloqué, est</w:t>
      </w:r>
      <w:r>
        <w:t xml:space="preserve"> </w:t>
      </w:r>
      <w:r>
        <w:rPr>
          <w:b/>
          <w:bCs/>
        </w:rPr>
        <w:t xml:space="preserve">remboursé au client</w:t>
      </w:r>
      <w:r>
        <w:t xml:space="preserve">, et le client reçoit une</w:t>
      </w:r>
      <w:r>
        <w:t xml:space="preserve"> </w:t>
      </w:r>
      <w:r>
        <w:rPr>
          <w:b/>
          <w:bCs/>
        </w:rPr>
        <w:t xml:space="preserve">notification WhatsApp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Confirmez : le statut, le montant et la date de remboursement s'affichent sur la fiche, et le compteur « Remboursé · 30 j » du cockpit s'en trouve augmenté.</w:t>
      </w:r>
    </w:p>
    <w:bookmarkEnd w:id="26"/>
    <w:bookmarkStart w:id="27" w:name="rejeter-un-retour"/>
    <w:p>
      <w:pPr>
        <w:pStyle w:val="Heading3"/>
      </w:pPr>
      <w:r>
        <w:t xml:space="preserve">Rejeter un retour</w:t>
      </w:r>
    </w:p>
    <w:p>
      <w:pPr>
        <w:pStyle w:val="FirstParagraph"/>
      </w:pPr>
      <w:r>
        <w:t xml:space="preserve">Depuis</w:t>
      </w:r>
      <w:r>
        <w:t xml:space="preserve"> </w:t>
      </w:r>
      <w:r>
        <w:rPr>
          <w:i/>
          <w:iCs/>
        </w:rPr>
        <w:t xml:space="preserve">Demandé</w:t>
      </w:r>
      <w:r>
        <w:t xml:space="preserve"> </w:t>
      </w:r>
      <w:r>
        <w:t xml:space="preserve">(retour injustifié) ou</w:t>
      </w:r>
      <w:r>
        <w:t xml:space="preserve"> </w:t>
      </w:r>
      <w:r>
        <w:rPr>
          <w:i/>
          <w:iCs/>
        </w:rPr>
        <w:t xml:space="preserve">Inspecté</w:t>
      </w:r>
      <w:r>
        <w:t xml:space="preserve"> </w:t>
      </w:r>
      <w:r>
        <w:t xml:space="preserve">(pièce non conforme au motif déclaré), choisissez</w:t>
      </w:r>
      <w:r>
        <w:t xml:space="preserve"> </w:t>
      </w:r>
      <w:r>
        <w:rPr>
          <w:b/>
          <w:bCs/>
        </w:rPr>
        <w:t xml:space="preserve">« Rejeté »</w:t>
      </w:r>
      <w:r>
        <w:t xml:space="preserve"> </w:t>
      </w:r>
      <w:r>
        <w:t xml:space="preserve">et expliquez toujours la décision dans la note — le demandeur est notifié par WhatsApp, une note claire évite le litige qui suivrait.</w:t>
      </w:r>
    </w:p>
    <w:bookmarkEnd w:id="27"/>
    <w:bookmarkEnd w:id="28"/>
    <w:bookmarkStart w:id="29" w:name="les-automatismes"/>
    <w:p>
      <w:pPr>
        <w:pStyle w:val="Heading2"/>
      </w:pPr>
      <w:r>
        <w:t xml:space="preserve">Les automatismes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Horodatage systématique</w:t>
      </w:r>
      <w:r>
        <w:t xml:space="preserve"> </w:t>
      </w:r>
      <w:r>
        <w:t xml:space="preserve">: chaque changement de statut d'un retour enregistre sa date (demandé, accepté, récupéré, inspecté, remboursé, rejeté, annulé) — la fiche « Étapes » raconte le dossier sans rien saisir.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Remboursement du séquestre</w:t>
      </w:r>
      <w:r>
        <w:t xml:space="preserve"> </w:t>
      </w:r>
      <w:r>
        <w:t xml:space="preserve">: au passage « Remboursé », si le séquestre de la commande est encore bloqué, il est automatiquement remboursé au client. S'il a déjà été libéré au vendeur, le statut avance mais aucun mouvement de séquestre n'a lieu — réglez alors le remboursement hors plateforme et notez-le dans la note de résolution.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Notifications WhatsApp</w:t>
      </w:r>
      <w:r>
        <w:t xml:space="preserve"> </w:t>
      </w:r>
      <w:r>
        <w:t xml:space="preserve">: le plaignant reçoit la résolution de son litige ; le demandeur d'un retour est prévenu au remboursement comme au rejet. Les notifications partent en meilleur effort : si le numéro est injoignable, le statut avance quand même.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Traçabilité</w:t>
      </w:r>
      <w:r>
        <w:t xml:space="preserve"> </w:t>
      </w:r>
      <w:r>
        <w:t xml:space="preserve">: chaque action de l'équipe (prise en charge, résolution, clôture, avancement d'un retour) est consignée au journal d'activité de la plateforme avec son auteur.</w:t>
      </w:r>
    </w:p>
    <w:bookmarkEnd w:id="29"/>
    <w:bookmarkStart w:id="33" w:name="scénarios-pratiques"/>
    <w:p>
      <w:pPr>
        <w:pStyle w:val="Heading2"/>
      </w:pPr>
      <w:r>
        <w:t xml:space="preserve">Scénarios pratiques</w:t>
      </w:r>
    </w:p>
    <w:bookmarkStart w:id="30" w:name="la-revue-du-matin-10-minutes"/>
    <w:p>
      <w:pPr>
        <w:pStyle w:val="Heading3"/>
      </w:pPr>
      <w:r>
        <w:t xml:space="preserve">La revue du matin (10 minutes)</w:t>
      </w:r>
    </w:p>
    <w:p>
      <w:pPr>
        <w:pStyle w:val="Compact"/>
        <w:numPr>
          <w:ilvl w:val="0"/>
          <w:numId w:val="1006"/>
        </w:numPr>
      </w:pPr>
      <w:r>
        <w:t xml:space="preserve">Onglet</w:t>
      </w:r>
      <w:r>
        <w:t xml:space="preserve"> </w:t>
      </w:r>
      <w:r>
        <w:rPr>
          <w:b/>
          <w:bCs/>
        </w:rPr>
        <w:t xml:space="preserve">Litiges</w:t>
      </w:r>
      <w:r>
        <w:t xml:space="preserve">, carte</w:t>
      </w:r>
      <w:r>
        <w:t xml:space="preserve"> </w:t>
      </w:r>
      <w:r>
        <w:rPr>
          <w:b/>
          <w:bCs/>
        </w:rPr>
        <w:t xml:space="preserve">Ouverts</w:t>
      </w:r>
      <w:r>
        <w:t xml:space="preserve"> </w:t>
      </w:r>
      <w:r>
        <w:t xml:space="preserve">: tout litige ouvert est pris en charge dans la matinée (bouton « Prendre en charge »), puis appelé dans la foulée.</w:t>
      </w:r>
    </w:p>
    <w:p>
      <w:pPr>
        <w:pStyle w:val="Compact"/>
        <w:numPr>
          <w:ilvl w:val="0"/>
          <w:numId w:val="1006"/>
        </w:numPr>
      </w:pPr>
      <w:r>
        <w:t xml:space="preserve">Filtre</w:t>
      </w:r>
      <w:r>
        <w:t xml:space="preserve"> </w:t>
      </w:r>
      <w:r>
        <w:rPr>
          <w:b/>
          <w:bCs/>
        </w:rPr>
        <w:t xml:space="preserve">En cours d'examen</w:t>
      </w:r>
      <w:r>
        <w:t xml:space="preserve"> </w:t>
      </w:r>
      <w:r>
        <w:t xml:space="preserve">: les dossiers de la veille ont-ils reçu leur réponse ? Un litige qui dépasse 48 h en examen se résout ou s'explique.</w:t>
      </w:r>
    </w:p>
    <w:p>
      <w:pPr>
        <w:pStyle w:val="Compact"/>
        <w:numPr>
          <w:ilvl w:val="0"/>
          <w:numId w:val="1006"/>
        </w:numPr>
      </w:pPr>
      <w:r>
        <w:t xml:space="preserve">Onglet</w:t>
      </w:r>
      <w:r>
        <w:t xml:space="preserve"> </w:t>
      </w:r>
      <w:r>
        <w:rPr>
          <w:b/>
          <w:bCs/>
        </w:rPr>
        <w:t xml:space="preserve">Retours</w:t>
      </w:r>
      <w:r>
        <w:t xml:space="preserve">, filtre</w:t>
      </w:r>
      <w:r>
        <w:t xml:space="preserve"> </w:t>
      </w:r>
      <w:r>
        <w:rPr>
          <w:b/>
          <w:bCs/>
        </w:rPr>
        <w:t xml:space="preserve">Demandé</w:t>
      </w:r>
      <w:r>
        <w:t xml:space="preserve"> </w:t>
      </w:r>
      <w:r>
        <w:t xml:space="preserve">: acceptez ou rejetez chaque demande du jour ; filtre</w:t>
      </w:r>
      <w:r>
        <w:t xml:space="preserve"> </w:t>
      </w:r>
      <w:r>
        <w:rPr>
          <w:b/>
          <w:bCs/>
        </w:rPr>
        <w:t xml:space="preserve">Inspecté</w:t>
      </w:r>
      <w:r>
        <w:t xml:space="preserve"> </w:t>
      </w:r>
      <w:r>
        <w:t xml:space="preserve">: concluez les remboursements en attente.</w:t>
      </w:r>
    </w:p>
    <w:bookmarkEnd w:id="30"/>
    <w:bookmarkStart w:id="31" w:name="litige--pièce-défectueuse--type"/>
    <w:p>
      <w:pPr>
        <w:pStyle w:val="Heading3"/>
      </w:pPr>
      <w:r>
        <w:t xml:space="preserve">Litige « pièce défectueuse » type</w:t>
      </w:r>
    </w:p>
    <w:p>
      <w:pPr>
        <w:pStyle w:val="Compact"/>
        <w:numPr>
          <w:ilvl w:val="0"/>
          <w:numId w:val="1007"/>
        </w:numPr>
      </w:pPr>
      <w:r>
        <w:t xml:space="preserve">Le client ouvre un litige sur une commande livrée : la fiche montre la pièce, son vendeur et le séquestre encore bloqué.</w:t>
      </w:r>
    </w:p>
    <w:p>
      <w:pPr>
        <w:pStyle w:val="Compact"/>
        <w:numPr>
          <w:ilvl w:val="0"/>
          <w:numId w:val="1007"/>
        </w:numPr>
      </w:pPr>
      <w:r>
        <w:t xml:space="preserve">Prenez en charge, appelez le client (preuves : photos jointes), puis le vendeur.</w:t>
      </w:r>
    </w:p>
    <w:p>
      <w:pPr>
        <w:pStyle w:val="Compact"/>
        <w:numPr>
          <w:ilvl w:val="0"/>
          <w:numId w:val="1007"/>
        </w:numPr>
      </w:pPr>
      <w:r>
        <w:t xml:space="preserve">La pièce est bien défectueuse → demandez un</w:t>
      </w:r>
      <w:r>
        <w:t xml:space="preserve"> </w:t>
      </w:r>
      <w:r>
        <w:rPr>
          <w:b/>
          <w:bCs/>
        </w:rPr>
        <w:t xml:space="preserve">retour</w:t>
      </w:r>
      <w:r>
        <w:t xml:space="preserve"> </w:t>
      </w:r>
      <w:r>
        <w:t xml:space="preserve">(canal habituel), et quand le retour est</w:t>
      </w:r>
      <w:r>
        <w:t xml:space="preserve"> </w:t>
      </w:r>
      <w:r>
        <w:rPr>
          <w:b/>
          <w:bCs/>
        </w:rPr>
        <w:t xml:space="preserve">inspecté</w:t>
      </w:r>
      <w:r>
        <w:t xml:space="preserve">, passez-le à</w:t>
      </w:r>
      <w:r>
        <w:t xml:space="preserve"> </w:t>
      </w:r>
      <w:r>
        <w:rPr>
          <w:b/>
          <w:bCs/>
        </w:rPr>
        <w:t xml:space="preserve">Remboursé</w:t>
      </w:r>
      <w:r>
        <w:t xml:space="preserve"> </w:t>
      </w:r>
      <w:r>
        <w:t xml:space="preserve">: le séquestre bloqué repart automatiquement au client.</w:t>
      </w:r>
    </w:p>
    <w:p>
      <w:pPr>
        <w:pStyle w:val="Compact"/>
        <w:numPr>
          <w:ilvl w:val="0"/>
          <w:numId w:val="1007"/>
        </w:numPr>
      </w:pPr>
      <w:r>
        <w:t xml:space="preserve">Résolvez le litige</w:t>
      </w:r>
      <w:r>
        <w:t xml:space="preserve"> </w:t>
      </w:r>
      <w:r>
        <w:rPr>
          <w:b/>
          <w:bCs/>
        </w:rPr>
        <w:t xml:space="preserve">en faveur du client</w:t>
      </w:r>
      <w:r>
        <w:t xml:space="preserve"> </w:t>
      </w:r>
      <w:r>
        <w:t xml:space="preserve">(« pièce défectueuse confirmée à l'inspection, remboursement effectué le … »), puis clôturez.</w:t>
      </w:r>
    </w:p>
    <w:bookmarkEnd w:id="31"/>
    <w:bookmarkStart w:id="32" w:name="retour--plus-besoin-"/>
    <w:p>
      <w:pPr>
        <w:pStyle w:val="Heading3"/>
      </w:pPr>
      <w:r>
        <w:t xml:space="preserve">Retour « plus besoin »</w:t>
      </w:r>
    </w:p>
    <w:p>
      <w:pPr>
        <w:pStyle w:val="Compact"/>
        <w:numPr>
          <w:ilvl w:val="0"/>
          <w:numId w:val="1008"/>
        </w:numPr>
      </w:pPr>
      <w:r>
        <w:t xml:space="preserve">Retour demandé après livraison, motif « Plus besoin ». La commande est livrée depuis deux jours, pièce neuve.</w:t>
      </w:r>
    </w:p>
    <w:p>
      <w:pPr>
        <w:pStyle w:val="Compact"/>
        <w:numPr>
          <w:ilvl w:val="0"/>
          <w:numId w:val="1008"/>
        </w:numPr>
      </w:pPr>
      <w:r>
        <w:t xml:space="preserve">Acceptez le retour → la pièce est</w:t>
      </w:r>
      <w:r>
        <w:t xml:space="preserve"> </w:t>
      </w:r>
      <w:r>
        <w:rPr>
          <w:b/>
          <w:bCs/>
        </w:rPr>
        <w:t xml:space="preserve">récupérée</w:t>
      </w:r>
      <w:r>
        <w:t xml:space="preserve"> </w:t>
      </w:r>
      <w:r>
        <w:t xml:space="preserve">par le livreur →</w:t>
      </w:r>
      <w:r>
        <w:t xml:space="preserve"> </w:t>
      </w:r>
      <w:r>
        <w:rPr>
          <w:b/>
          <w:bCs/>
        </w:rPr>
        <w:t xml:space="preserve">inspectée</w:t>
      </w:r>
      <w:r>
        <w:t xml:space="preserve"> </w:t>
      </w:r>
      <w:r>
        <w:t xml:space="preserve">(intacte, revendable).</w:t>
      </w:r>
    </w:p>
    <w:p>
      <w:pPr>
        <w:pStyle w:val="Compact"/>
        <w:numPr>
          <w:ilvl w:val="0"/>
          <w:numId w:val="1008"/>
        </w:numPr>
      </w:pPr>
      <w:r>
        <w:t xml:space="preserve">Passez à</w:t>
      </w:r>
      <w:r>
        <w:t xml:space="preserve"> </w:t>
      </w:r>
      <w:r>
        <w:rPr>
          <w:b/>
          <w:bCs/>
        </w:rPr>
        <w:t xml:space="preserve">Remboursé</w:t>
      </w:r>
      <w:r>
        <w:t xml:space="preserve"> </w:t>
      </w:r>
      <w:r>
        <w:t xml:space="preserve">avec le montant de la pièce (hors frais de livraison, selon la politique en vigueur — notez le calcul dans la note).</w:t>
      </w:r>
    </w:p>
    <w:bookmarkEnd w:id="32"/>
    <w:bookmarkEnd w:id="33"/>
    <w:bookmarkStart w:id="34" w:name="bonnes-pratiques"/>
    <w:p>
      <w:pPr>
        <w:pStyle w:val="Heading2"/>
      </w:pPr>
      <w:r>
        <w:t xml:space="preserve">Bonnes pratiques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Prenez en charge avant d'appeler</w:t>
      </w:r>
      <w:r>
        <w:t xml:space="preserve"> </w:t>
      </w:r>
      <w:r>
        <w:t xml:space="preserve">: le statut « En cours d'examen » évite que deux collègues appellent le même client — et le cockpit reflète la réalité.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La résolution s'écrit pour le client</w:t>
      </w:r>
      <w:r>
        <w:t xml:space="preserve"> </w:t>
      </w:r>
      <w:r>
        <w:t xml:space="preserve">: elle part telle quelle en WhatsApp. Relisez-la avec ses yeux avant de confirmer.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Une note à chaque étape sensible</w:t>
      </w:r>
      <w:r>
        <w:t xml:space="preserve"> </w:t>
      </w:r>
      <w:r>
        <w:t xml:space="preserve">: remboursement partiel, rejet, arrangement avec le vendeur — la note de résolution est la mémoire du dossier quand un collègue le rouvrira.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Ne laissez rien au statut « Demandé » plus de 24 h</w:t>
      </w:r>
      <w:r>
        <w:t xml:space="preserve"> </w:t>
      </w:r>
      <w:r>
        <w:t xml:space="preserve">: accepter ou rejeter vite, même si la suite prend du temps — le client sait que son dossier avance.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Vérifiez le séquestre avant de rembourser</w:t>
      </w:r>
      <w:r>
        <w:t xml:space="preserve"> </w:t>
      </w:r>
      <w:r>
        <w:t xml:space="preserve">: l'encadré commande de la fiche l'affiche. S'il est déjà « Libéré au vendeur », le remboursement ne passera pas par la plateforme — anticipez la solution et tracez-la.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Clôturez les dossiers terminés</w:t>
      </w:r>
      <w:r>
        <w:t xml:space="preserve"> </w:t>
      </w:r>
      <w:r>
        <w:t xml:space="preserve">: une liste de litiges propre se concentre sur l'ouvert et l'examen ; le clôturé reste retrouvable par le filtre.</w:t>
      </w:r>
    </w:p>
    <w:bookmarkEnd w:id="34"/>
    <w:bookmarkStart w:id="35" w:name="limites-connues"/>
    <w:p>
      <w:pPr>
        <w:pStyle w:val="Heading2"/>
      </w:pPr>
      <w:r>
        <w:t xml:space="preserve">Limites connues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Pas d'assignation nominative</w:t>
      </w:r>
      <w:r>
        <w:t xml:space="preserve"> </w:t>
      </w:r>
      <w:r>
        <w:t xml:space="preserve">: un litige ou un retour n'est pas attribué à un agent précis — la coordination repose sur la prise en charge et les relances CRM (une tâche CRM peut être créée sur la fiche client pour le suivi).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Pas de notes internes chronologiques</w:t>
      </w:r>
      <w:r>
        <w:t xml:space="preserve"> </w:t>
      </w:r>
      <w:r>
        <w:t xml:space="preserve">: la fiche trace les statuts et une note de résolution, mais pas une timeline de commentaires d'équipe — utilisez les interactions CRM de la fiche client pour le journal détaillé.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Montant de remboursement libre</w:t>
      </w:r>
      <w:r>
        <w:t xml:space="preserve"> </w:t>
      </w:r>
      <w:r>
        <w:t xml:space="preserve">: la plateforme ne calcule pas le montant (pièce seule, avec ou sans livraison) — il est saisi par l'agent, selon la politique en vigueur.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Notifications en meilleur effort</w:t>
      </w:r>
      <w:r>
        <w:t xml:space="preserve"> </w:t>
      </w:r>
      <w:r>
        <w:t xml:space="preserve">: un client sans numéro valide ou désabonné de WhatsApp n'est pas prévenu — le statut avance quand même ; prévoyez un appel dans ce cas.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Pas de statistiques de délai</w:t>
      </w:r>
      <w:r>
        <w:t xml:space="preserve"> </w:t>
      </w:r>
      <w:r>
        <w:t xml:space="preserve">: le cockpit compte les dossiers, pas encore les délais moyens de traitement.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Pièces.ci — Marketplace pièces auto · Abidjan, Côte d'Ivoire · Document interne, équipe Pièces</w:t>
      </w:r>
    </w:p>
    <w:p>
      <w:pPr>
        <w:pStyle w:val="BodyText"/>
      </w:pPr>
      <w:r>
        <w:rPr>
          <w:i/>
          <w:iCs/>
        </w:rPr>
        <w:t xml:space="preserve">Manuel Support &amp; SAV v1.0 — août 2026. Décrit le module « Support &amp; SAV » de l'espace Administration (litiges, retours, remboursements) tel que déployé. Pour toute évolution de l'outil, mettre à jour ce document dans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docs/</w:t>
      </w:r>
      <w:r>
        <w:rPr>
          <w:i/>
          <w:iCs/>
        </w:rPr>
        <w:t xml:space="preserve">.</w:t>
      </w:r>
    </w:p>
    <w:bookmarkEnd w:id="35"/>
    <w:bookmarkEnd w:id="3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2026-08-02T13:16:42Z</dcterms:created>
  <dcterms:modified xsi:type="dcterms:W3CDTF">2026-08-02T13:16:42Z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