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—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 </w:t>
      </w:r>
      <w:r>
        <w:t xml:space="preserve">—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 la pièce (recherche, photo IA, VIN), le propriétaire paie en Mobile Money via</w:t>
      </w:r>
      <w:r>
        <w:t xml:space="preserve"> </w:t>
      </w:r>
      <w:r>
        <w:rPr>
          <w:b/>
          <w:bCs/>
        </w:rPr>
        <w:t xml:space="preserve">escrow</w:t>
      </w:r>
      <w:r>
        <w:t xml:space="preserve">, le vendeur livre. Prix affichés,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: pilotage du coût total de possession, détection des véhicules « gouffres », alertes d'entretien, livraison express, facturation consolidée,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—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 concurrentielle 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escrow,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(sources Jumia, CoinAfrique, global-auto).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Seed de ~1,5 M USD (≈ 900 M FCFA)</w:t>
      </w:r>
      <w:r>
        <w:t xml:space="preserve"> </w:t>
      </w:r>
      <w:r>
        <w:t xml:space="preserve">pour financer 18–24 mois d'exécution — verrouiller Adjamé, prendre la verticale VTC via un partenariat Yango, et atteindre les jalons d'une Série A.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des milliers de vendeurs (cantines d'Adjamé, Yopougon, Marcory) vendent sans catalogue, sans prix affiché, sans garantie, sans facture, sans traçabilité.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—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 — autant de surcoût qu'il y a d'intermédiaires sur la pièce — faute de prix de référence, et sans aucune garantie.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30 000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 </w:t>
      </w:r>
      <w:r>
        <w:t xml:space="preserve">— de l'importateur en gros au détaillant —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 — quel que soit le nombre d'intermédiaires. Les marges opaques s'effondrent ;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escrow Mobile Money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Gemini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fitment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 pour non-équipés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informels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 non-négociables produit</w:t>
      </w:r>
      <w:r>
        <w:t xml:space="preserve"> </w:t>
      </w:r>
      <w:r>
        <w:t xml:space="preserve">: chips de condition partout (jamais en gris), breakdown de prix explicite avant paiement, tout en français, devise FCFA.</w:t>
      </w:r>
    </w:p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~400–420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~25 000–30 000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5 000–6 000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—</w:t>
      </w:r>
      <w:r>
        <w:t xml:space="preserve"> </w:t>
      </w:r>
      <w:r>
        <w:rPr>
          <w:b/>
          <w:bCs/>
        </w:rPr>
        <w:t xml:space="preserve">~4 milliards FCFA dépensés par jour en déplacements à Abidjan</w:t>
      </w:r>
      <w:r>
        <w:t xml:space="preserve"> </w:t>
      </w:r>
      <w:r>
        <w:t xml:space="preserve">—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(15 000–30 000 F/jour). Douleur aiguë, récurrente, mesurable — idéale pour prouver le ROI, bâtir les cas clients et la base de données fitments,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Restriction de l'âge des véhicules importés, rajeunissement du parc, montée du Mobile Money (Orange Money, MTN, Wave), formalisation fiscale (FNE-CI) : tous les vents portent vers une digitalisation de l'après-vente automobile. La fenêtre est ouverte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Cantines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global-auto.online</w:t>
            </w:r>
          </w:p>
        </w:tc>
        <w:tc>
          <w:tcPr/>
          <w:p>
            <w:pPr>
              <w:pStyle w:val="Compact"/>
            </w:pPr>
            <w:r>
              <w:t xml:space="preserve">Seul catalogue web structuré</w:t>
            </w:r>
          </w:p>
        </w:tc>
        <w:tc>
          <w:tcPr/>
          <w:p>
            <w:pPr>
              <w:pStyle w:val="Compact"/>
            </w:pPr>
            <w:r>
              <w:t xml:space="preserve">Catalogue miroité (veille prix permanente) ; ils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24–36 mois</w:t>
            </w:r>
          </w:p>
        </w:tc>
        <w:tc>
          <w:tcPr/>
          <w:p>
            <w:pPr>
              <w:pStyle w:val="Compact"/>
            </w:pPr>
            <w:r>
              <w:t xml:space="preserve">Avance terrain + data fitments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&amp; la cartographie de la chaîne</w:t>
      </w:r>
      <w:r>
        <w:t xml:space="preserve"> </w:t>
      </w:r>
      <w:r>
        <w:t xml:space="preserve">— agents terrain qui recensent et digitalisent tous les acteurs (importateurs en gros → détaillants, formels et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data fitments Côte d'Ivoire</w:t>
      </w:r>
      <w:r>
        <w:t xml:space="preserve"> </w:t>
      </w:r>
      <w:r>
        <w:t xml:space="preserve">— quelle pièce va sur quel véhicule local ;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L'escrow Mobile Money + garantie Pièces</w:t>
      </w:r>
      <w:r>
        <w:t xml:space="preserve"> </w:t>
      </w:r>
      <w:r>
        <w:t xml:space="preserve">—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—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vendeur, prélevée à l'escrow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8 %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2 560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25 000–60 000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M0–6 — Verrouiller Adjamé/Yopougon</w:t>
      </w:r>
      <w:r>
        <w:t xml:space="preserve"> </w:t>
      </w:r>
      <w:r>
        <w:t xml:space="preserve">: 20 Liaisons, 300 vendeurs onboardés, 30 000 pièces publiées,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M3–12 — Prendre le VTC</w:t>
      </w:r>
      <w:r>
        <w:t xml:space="preserve"> </w:t>
      </w:r>
      <w:r>
        <w:t xml:space="preserve">: partenariat Yango (pilote 200 conducteurs gratuits 3 mois → déploiement masse), Heetch en parallèle, démarchage des flottes indépendantes (5–200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M6–15 — Devenir le standard FNE-CI</w:t>
      </w:r>
      <w:r>
        <w:t xml:space="preserve"> </w:t>
      </w:r>
      <w:r>
        <w:t xml:space="preserve">: intégration DGI, vente directe aux DAF (« vos chauffeurs achètent en cash → vous perdez la TVA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M12–18 —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M18–24 — Sortir d'Abidjan</w:t>
      </w:r>
      <w:r>
        <w:t xml:space="preserve"> </w:t>
      </w:r>
      <w:r>
        <w:t xml:space="preserve">: Bouaké, San Pedro ; pilote sous-régional (Dakar/Cotonou).</w:t>
      </w:r>
    </w:p>
    <w:p>
      <w:pPr>
        <w:pStyle w:val="FirstParagraph"/>
      </w:pPr>
      <w:r>
        <w:t xml:space="preserve">Canaux d'acquisition : Liaison terrain (80 % du sourcing offre), WhatsApp &amp; radio populaire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USD ≈ 600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—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24 mois</w:t>
      </w:r>
      <w:r>
        <w:t xml:space="preserve"> </w:t>
      </w:r>
      <w:r>
        <w:t xml:space="preserve">d'exécution jusqu'aux jalons d'une Série A.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M0–6 (build + Adjamé)</w:t>
            </w:r>
          </w:p>
        </w:tc>
        <w:tc>
          <w:tcPr/>
          <w:p>
            <w:pPr>
              <w:pStyle w:val="Compact"/>
            </w:pPr>
            <w:r>
              <w:t xml:space="preserve">M7–12 (VTC + monétisation)</w:t>
            </w:r>
          </w:p>
        </w:tc>
        <w:tc>
          <w:tcPr/>
          <w:p>
            <w:pPr>
              <w:pStyle w:val="Compact"/>
            </w:pPr>
            <w:r>
              <w:t xml:space="preserve">M13–18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~0–5 M</w:t>
            </w:r>
          </w:p>
        </w:tc>
      </w:tr>
    </w:tbl>
    <w:p>
      <w:pPr>
        <w:pStyle w:val="BodyText"/>
      </w:pPr>
      <w:r>
        <w:t xml:space="preserve">Burn net opérationnel cumulé M0–18 ≈</w:t>
      </w:r>
      <w:r>
        <w:t xml:space="preserve"> </w:t>
      </w:r>
      <w:r>
        <w:rPr>
          <w:b/>
          <w:bCs/>
        </w:rPr>
        <w:t xml:space="preserve">300–350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~100–150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(~150–200 M F) et une réserve de préparation Série A.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~1,0 M USD (600 M F)</w:t>
            </w:r>
          </w:p>
        </w:tc>
        <w:tc>
          <w:tcPr/>
          <w:p>
            <w:pPr>
              <w:pStyle w:val="Compact"/>
            </w:pPr>
            <w:r>
              <w:t xml:space="preserve">~14–16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~1,5 M USD (900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~20–24 mois</w:t>
            </w:r>
          </w:p>
        </w:tc>
        <w:tc>
          <w:tcPr/>
          <w:p>
            <w:pPr>
              <w:pStyle w:val="Compact"/>
            </w:pPr>
            <w:r>
              <w:t xml:space="preserve">Atteint les jalons Série A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~2,0 M USD (1,2 Md F)</w:t>
            </w:r>
          </w:p>
        </w:tc>
        <w:tc>
          <w:tcPr/>
          <w:p>
            <w:pPr>
              <w:pStyle w:val="Compact"/>
            </w:pPr>
            <w:r>
              <w:t xml:space="preserve">~24 mois +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5e1ab7649e579152c4e515a4a474a5031c43d48"/>
    <w:p>
      <w:pPr>
        <w:pStyle w:val="Heading3"/>
      </w:pPr>
      <w:r>
        <w:t xml:space="preserve">9.3 Emploi des fonds (scénario recommandé, 900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270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225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90 M F</w:t>
            </w:r>
          </w:p>
        </w:tc>
      </w:tr>
    </w:tbl>
    <w:bookmarkEnd w:id="22"/>
    <w:bookmarkStart w:id="23" w:name="X34f76f6bb1a57270b17d02c9539ecf96603979b"/>
    <w:p>
      <w:pPr>
        <w:pStyle w:val="Heading3"/>
      </w:pPr>
      <w:r>
        <w:t xml:space="preserve">9.4 Jalons débloqués (conditions de la Série A)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Série A 4–7 M USD</w:t>
      </w:r>
      <w:r>
        <w:t xml:space="preserve"> </w:t>
      </w:r>
      <w:r>
        <w:t xml:space="preserve">visée à M15–18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M0–M3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data fitments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Mobile Money (panne PSP)</w:t>
            </w:r>
          </w:p>
        </w:tc>
        <w:tc>
          <w:tcPr/>
          <w:p>
            <w:pPr>
              <w:pStyle w:val="Compact"/>
            </w:pPr>
            <w:r>
              <w:t xml:space="preserve">Élevé temporaire</w:t>
            </w:r>
          </w:p>
        </w:tc>
        <w:tc>
          <w:tcPr/>
          <w:p>
            <w:pPr>
              <w:pStyle w:val="Compact"/>
            </w:pPr>
            <w:r>
              <w:t xml:space="preserve">Multi-PSP (CinetPay + Wave + OM/MTN), fallback COD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Série A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le réseau terrain Liaison ; personne n'a la conformité FNE-CI native ni la base fitments Côte d'Ivoire que nous construisons transaction par transaction. Ces trois éléments —</w:t>
      </w:r>
      <w:r>
        <w:t xml:space="preserve"> </w:t>
      </w:r>
      <w:r>
        <w:rPr>
          <w:b/>
          <w:bCs/>
        </w:rPr>
        <w:t xml:space="preserve">demande, offre, conformité</w:t>
      </w:r>
      <w:r>
        <w:t xml:space="preserve"> </w:t>
      </w:r>
      <w:r>
        <w:t xml:space="preserve">—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— la pièce qu'il te faut, au juste prix, livrée et garantie. · Document interne confidentiel · Plan d'affaires v1.1 · Juin 2026. Sources marché : étude Pièces « Coûts d'exploitation VTC en Côte d'Ivoire » (mai 2026), Déclic Car / 7info &amp; Digital Mag CI (Yango : 25 000 véhicules, 100 000 courses/jour, 160 entreprises — 2026), Africa Data Intelligence (VTC 2024), Ministère des Transports CI (parc ~1,2 M, 2022), Agence Ecofin &amp; Jeune Afrique (retrait Uber 2025), Disrupt Africa / TechCabal (financement 2024–2025).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2026-06-07T08:19:39Z</dcterms:created>
  <dcterms:modified xsi:type="dcterms:W3CDTF">2026-06-07T08:19:39Z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