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e72c5eccb28df21d1e8cfec68480f8485fc0fea"/>
    <w:p>
      <w:pPr>
        <w:pStyle w:val="Heading1"/>
      </w:pPr>
      <w:r>
        <w:t xml:space="preserve">Coûts d'exploitation des VTC en Côte d'Ivoire</w:t>
      </w:r>
    </w:p>
    <w:p>
      <w:r>
        <w:pict>
          <v:rect style="width:0;height:1.5pt" o:hralign="center" o:hrstd="t" o:hr="t"/>
        </w:pict>
      </w:r>
    </w:p>
    <w:bookmarkStart w:id="20" w:name="résumé-exécutif"/>
    <w:p>
      <w:pPr>
        <w:pStyle w:val="Heading2"/>
      </w:pPr>
      <w:r>
        <w:t xml:space="preserve">Résumé exécutif</w:t>
      </w:r>
    </w:p>
    <w:p>
      <w:pPr>
        <w:pStyle w:val="FirstParagraph"/>
      </w:pPr>
      <w:r>
        <w:t xml:space="preserve">Le VTC ivoirien est un secteur en forte croissance mais à marges tendues. Après le retrait d'Uber en septembre 2025, le marché est dominé par Yango, avec Heetch et inDrive en challengers. Le parc est estimé à</w:t>
      </w:r>
      <w:r>
        <w:t xml:space="preserve"> </w:t>
      </w:r>
      <w:r>
        <w:rPr>
          <w:b/>
          <w:bCs/>
        </w:rPr>
        <w:t xml:space="preserve">environ 30 000 véhicules VTC en activité</w:t>
      </w:r>
      <w:r>
        <w:t xml:space="preserve"> </w:t>
      </w:r>
      <w:r>
        <w:t xml:space="preserve">au niveau national (estimation début 2026), Yango concentrant à lui seul ~70 % du marché avec plus de 25 000 véhicules enregistrés à Abidjan. Ce chiffre, en forte progression, succède à l'estimation de 5 000–6 000 chauffeurs de 2024.</w:t>
      </w:r>
    </w:p>
    <w:p>
      <w:pPr>
        <w:pStyle w:val="BodyText"/>
      </w:pPr>
      <w:r>
        <w:t xml:space="preserve">Pour un véhicule VTC en usage intensif à Abidjan, la structure de coûts annuelle se répartit grossièrement ainsi :</w:t>
      </w:r>
    </w:p>
    <w:p>
      <w:pPr>
        <w:pStyle w:val="Compact"/>
        <w:numPr>
          <w:ilvl w:val="0"/>
          <w:numId w:val="1001"/>
        </w:numPr>
      </w:pPr>
      <w:r>
        <w:rPr>
          <w:b/>
          <w:bCs/>
        </w:rPr>
        <w:t xml:space="preserve">Carburant</w:t>
      </w:r>
      <w:r>
        <w:t xml:space="preserve"> </w:t>
      </w:r>
      <w:r>
        <w:t xml:space="preserve">: poste n°1, ~2,7 à 3,4 M FCFA/an selon le modèle.</w:t>
      </w:r>
    </w:p>
    <w:p>
      <w:pPr>
        <w:pStyle w:val="Compact"/>
        <w:numPr>
          <w:ilvl w:val="0"/>
          <w:numId w:val="1001"/>
        </w:numPr>
      </w:pPr>
      <w:r>
        <w:rPr>
          <w:b/>
          <w:bCs/>
        </w:rPr>
        <w:t xml:space="preserve">Pièces détachées &amp; consommables</w:t>
      </w:r>
      <w:r>
        <w:t xml:space="preserve"> </w:t>
      </w:r>
      <w:r>
        <w:t xml:space="preserve">: poste n°2 et</w:t>
      </w:r>
      <w:r>
        <w:t xml:space="preserve"> </w:t>
      </w:r>
      <w:r>
        <w:rPr>
          <w:b/>
          <w:bCs/>
        </w:rPr>
        <w:t xml:space="preserve">premier poste réellement pilotable</w:t>
      </w:r>
      <w:r>
        <w:t xml:space="preserve">, de l'ordre de</w:t>
      </w:r>
      <w:r>
        <w:t xml:space="preserve"> </w:t>
      </w:r>
      <w:r>
        <w:rPr>
          <w:b/>
          <w:bCs/>
        </w:rPr>
        <w:t xml:space="preserve">1,0 à 1,5 M FCFA/an</w:t>
      </w:r>
      <w:r>
        <w:t xml:space="preserve"> </w:t>
      </w:r>
      <w:r>
        <w:t xml:space="preserve">pour un compact en usage intensif.</w:t>
      </w:r>
    </w:p>
    <w:p>
      <w:pPr>
        <w:pStyle w:val="Compact"/>
        <w:numPr>
          <w:ilvl w:val="0"/>
          <w:numId w:val="1001"/>
        </w:numPr>
      </w:pPr>
      <w:r>
        <w:rPr>
          <w:b/>
          <w:bCs/>
        </w:rPr>
        <w:t xml:space="preserve">Commission plateforme + taxe</w:t>
      </w:r>
      <w:r>
        <w:t xml:space="preserve"> </w:t>
      </w:r>
      <w:r>
        <w:t xml:space="preserve">: 18 à 23 % du chiffre d'affaires + 4 % de taxe d'État.</w:t>
      </w:r>
    </w:p>
    <w:p>
      <w:pPr>
        <w:pStyle w:val="Compact"/>
        <w:numPr>
          <w:ilvl w:val="0"/>
          <w:numId w:val="1001"/>
        </w:numPr>
      </w:pPr>
      <w:r>
        <w:rPr>
          <w:b/>
          <w:bCs/>
        </w:rPr>
        <w:t xml:space="preserve">Assurance, réglementaire, amortissement</w:t>
      </w:r>
      <w:r>
        <w:t xml:space="preserve"> </w:t>
      </w:r>
      <w:r>
        <w:t xml:space="preserve">: le reste.</w:t>
      </w:r>
    </w:p>
    <w:p>
      <w:pPr>
        <w:pStyle w:val="FirstParagraph"/>
      </w:pPr>
      <w:r>
        <w:t xml:space="preserve">Le point central de cette étude :</w:t>
      </w:r>
      <w:r>
        <w:t xml:space="preserve"> </w:t>
      </w:r>
      <w:r>
        <w:rPr>
          <w:b/>
          <w:bCs/>
        </w:rPr>
        <w:t xml:space="preserve">un véhicule VTC vieillit en kilomètres 3 à 4 fois plus vite qu'un véhicule particulier</w:t>
      </w:r>
      <w:r>
        <w:t xml:space="preserve">. Là où une voiture privée roule ~15 000 km/an, un VTC temps plein dépasse souvent 40 000 km/an. Tous les intervalles d'entretien (vidange, freins, pneus, suspension, embrayage) se compriment d'autant — et c'est précisément ce qui rend la maîtrise des dépenses pièces décisive pour la rentabilité.</w:t>
      </w:r>
    </w:p>
    <w:p>
      <w:pPr>
        <w:pStyle w:val="BlockText"/>
      </w:pPr>
      <w:r>
        <w:rPr>
          <w:b/>
          <w:bCs/>
        </w:rPr>
        <w:t xml:space="preserve">Avertissement méthodologique.</w:t>
      </w:r>
      <w:r>
        <w:t xml:space="preserve"> </w:t>
      </w:r>
      <w:r>
        <w:t xml:space="preserve">Les chiffres ci-dessous sont des estimations construites à partir de prix de marché publics (garages, marketplaces, distributeurs ivoiriens), de reportages sectoriels et d'hypothèses d'usage explicitées. Ce ne sont pas des données de flotte auditées. Les écarts réels dépendent fortement du modèle, de l'intensité d'usage, de l'état des routes empruntées, du style de conduite et de la qualité des pièces installées.</w:t>
      </w:r>
    </w:p>
    <w:p>
      <w:r>
        <w:pict>
          <v:rect style="width:0;height:1.5pt" o:hralign="center" o:hrstd="t" o:hr="t"/>
        </w:pict>
      </w:r>
    </w:p>
    <w:bookmarkEnd w:id="20"/>
    <w:bookmarkStart w:id="21" w:name="Xbfa79c600e7cdf6c43a4e1e48059a55eb7814bd"/>
    <w:p>
      <w:pPr>
        <w:pStyle w:val="Heading2"/>
      </w:pPr>
      <w:r>
        <w:t xml:space="preserve">1. Le marché VTC ivoirien — cadrage</w:t>
      </w:r>
    </w:p>
    <w:p>
      <w:pPr>
        <w:pStyle w:val="FirstParagraph"/>
      </w:pPr>
      <w:r>
        <w:t xml:space="preserve">Le secteur s'est structuré rapidement autour de quelques plateformes agréées :</w:t>
      </w:r>
    </w:p>
    <w:p>
      <w:pPr>
        <w:pStyle w:val="Compact"/>
        <w:numPr>
          <w:ilvl w:val="0"/>
          <w:numId w:val="1002"/>
        </w:numPr>
      </w:pPr>
      <w:r>
        <w:rPr>
          <w:b/>
          <w:bCs/>
        </w:rPr>
        <w:t xml:space="preserve">Trois plateformes ont été légalement autorisées</w:t>
      </w:r>
      <w:r>
        <w:t xml:space="preserve"> </w:t>
      </w:r>
      <w:r>
        <w:t xml:space="preserve">par l'ARTI/DGTT : Uber, Yango et Heetch. Uber a quitté le pays le 25 septembre 2025 après six ans d'activité, laissant le terrain à Yango (leader nettement dominant), Heetch et inDrive.</w:t>
      </w:r>
    </w:p>
    <w:p>
      <w:pPr>
        <w:pStyle w:val="Compact"/>
        <w:numPr>
          <w:ilvl w:val="0"/>
          <w:numId w:val="1002"/>
        </w:numPr>
      </w:pPr>
      <w:r>
        <w:rPr>
          <w:b/>
          <w:bCs/>
        </w:rPr>
        <w:t xml:space="preserve">Volume</w:t>
      </w:r>
      <w:r>
        <w:t xml:space="preserve"> </w:t>
      </w:r>
      <w:r>
        <w:t xml:space="preserve">:</w:t>
      </w:r>
      <w:r>
        <w:t xml:space="preserve"> </w:t>
      </w:r>
      <w:r>
        <w:rPr>
          <w:b/>
          <w:bCs/>
        </w:rPr>
        <w:t xml:space="preserve">~30 000 véhicules VTC en activité</w:t>
      </w:r>
      <w:r>
        <w:t xml:space="preserve"> </w:t>
      </w:r>
      <w:r>
        <w:t xml:space="preserve">au niveau national (estimation début 2026, Déclic Car), contre 5 000–6 000 chauffeurs en 2024 (Africa Data Intelligence) — une croissance rapide. Yango concentre ~70 % du marché avec plus de 25 000 véhicules enregistrés à Abidjan et revendique « plusieurs dizaines de milliers » de partenaires.</w:t>
      </w:r>
    </w:p>
    <w:p>
      <w:pPr>
        <w:pStyle w:val="Compact"/>
        <w:numPr>
          <w:ilvl w:val="0"/>
          <w:numId w:val="1002"/>
        </w:numPr>
      </w:pPr>
      <w:r>
        <w:rPr>
          <w:b/>
          <w:bCs/>
        </w:rPr>
        <w:t xml:space="preserve">Dépense transport</w:t>
      </w:r>
      <w:r>
        <w:t xml:space="preserve"> </w:t>
      </w:r>
      <w:r>
        <w:t xml:space="preserve">: les Abidjanais dépenseraient environ 4 milliards FCFA par jour en déplacements, tous modes confondus.</w:t>
      </w:r>
    </w:p>
    <w:p>
      <w:pPr>
        <w:pStyle w:val="Compact"/>
        <w:numPr>
          <w:ilvl w:val="0"/>
          <w:numId w:val="1002"/>
        </w:numPr>
      </w:pPr>
      <w:r>
        <w:rPr>
          <w:b/>
          <w:bCs/>
        </w:rPr>
        <w:t xml:space="preserve">Cadre réglementaire</w:t>
      </w:r>
      <w:r>
        <w:t xml:space="preserve"> </w:t>
      </w:r>
      <w:r>
        <w:t xml:space="preserve">: limite d'âge des véhicules (de l'ordre de 5 ans), patente transport, visite technique, assurance obligatoire. Une</w:t>
      </w:r>
      <w:r>
        <w:t xml:space="preserve"> </w:t>
      </w:r>
      <w:r>
        <w:rPr>
          <w:b/>
          <w:bCs/>
        </w:rPr>
        <w:t xml:space="preserve">taxe de 4 % sur le prix des courses</w:t>
      </w:r>
      <w:r>
        <w:t xml:space="preserve"> </w:t>
      </w:r>
      <w:r>
        <w:t xml:space="preserve">est en vigueur depuis octobre 2024.</w:t>
      </w:r>
    </w:p>
    <w:p>
      <w:pPr>
        <w:pStyle w:val="FirstParagraph"/>
      </w:pPr>
      <w:r>
        <w:rPr>
          <w:b/>
          <w:bCs/>
        </w:rPr>
        <w:t xml:space="preserve">Économie du chauffeur (ordre de grandeur)</w:t>
      </w:r>
    </w:p>
    <w:p>
      <w:pPr>
        <w:pStyle w:val="Compact"/>
        <w:numPr>
          <w:ilvl w:val="0"/>
          <w:numId w:val="1003"/>
        </w:numPr>
      </w:pPr>
      <w:r>
        <w:t xml:space="preserve">Recette brute : 15 000 à 30 000 FCFA/jour pour 8–10 h de conduite.</w:t>
      </w:r>
    </w:p>
    <w:p>
      <w:pPr>
        <w:pStyle w:val="Compact"/>
        <w:numPr>
          <w:ilvl w:val="0"/>
          <w:numId w:val="1003"/>
        </w:numPr>
      </w:pPr>
      <w:r>
        <w:t xml:space="preserve">Revenu net :</w:t>
      </w:r>
      <w:r>
        <w:t xml:space="preserve"> </w:t>
      </w:r>
      <w:r>
        <w:rPr>
          <w:b/>
          <w:bCs/>
        </w:rPr>
        <w:t xml:space="preserve">150 000 à 400 000 FCFA/mois</w:t>
      </w:r>
      <w:r>
        <w:t xml:space="preserve"> </w:t>
      </w:r>
      <w:r>
        <w:t xml:space="preserve">après carburant, entretien et commission, selon l'intensité.</w:t>
      </w:r>
    </w:p>
    <w:p>
      <w:pPr>
        <w:pStyle w:val="Compact"/>
        <w:numPr>
          <w:ilvl w:val="0"/>
          <w:numId w:val="1003"/>
        </w:numPr>
      </w:pPr>
      <w:r>
        <w:t xml:space="preserve">Commission Yango :</w:t>
      </w:r>
      <w:r>
        <w:t xml:space="preserve"> </w:t>
      </w:r>
      <w:r>
        <w:rPr>
          <w:b/>
          <w:bCs/>
        </w:rPr>
        <w:t xml:space="preserve">18 % (classe éco) à 23 % (classe confort)</w:t>
      </w:r>
      <w:r>
        <w:t xml:space="preserve">. Pour les chauffeurs qui passent par un partenaire/loueur intermédiaire, une commission additionnelle (~18 % sur les rechargements) s'ajoute.</w:t>
      </w:r>
    </w:p>
    <w:p>
      <w:pPr>
        <w:pStyle w:val="FirstParagraph"/>
      </w:pPr>
      <w:r>
        <w:t xml:space="preserve">Cette structure explique le sentiment de précarité largement rapporté : le chauffeur « travaille avec l'argent de demain », et le moindre dérapage sur les charges variables — au premier rang desquelles les pièces — érode directement sa marge.</w:t>
      </w:r>
    </w:p>
    <w:p>
      <w:r>
        <w:pict>
          <v:rect style="width:0;height:1.5pt" o:hralign="center" o:hrstd="t" o:hr="t"/>
        </w:pict>
      </w:r>
    </w:p>
    <w:bookmarkEnd w:id="21"/>
    <w:bookmarkStart w:id="24" w:name="Xa0b72fe9a483e7997c0332179a1540cbd4e3119"/>
    <w:p>
      <w:pPr>
        <w:pStyle w:val="Heading2"/>
      </w:pPr>
      <w:r>
        <w:t xml:space="preserve">2. Le véhicule VTC type et son intensité d'usage</w:t>
      </w:r>
    </w:p>
    <w:bookmarkStart w:id="22" w:name="parc-typique"/>
    <w:p>
      <w:pPr>
        <w:pStyle w:val="Heading3"/>
      </w:pPr>
      <w:r>
        <w:t xml:space="preserve">Parc typique</w:t>
      </w:r>
    </w:p>
    <w:p>
      <w:pPr>
        <w:pStyle w:val="FirstParagraph"/>
      </w:pPr>
      <w:r>
        <w:t xml:space="preserve">Les modèles les plus courants en VTC/taxi à Abidjan, par ordre d'accessibilité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Segment</w:t>
            </w:r>
          </w:p>
        </w:tc>
        <w:tc>
          <w:tcPr/>
          <w:p>
            <w:pPr>
              <w:pStyle w:val="Compact"/>
            </w:pPr>
            <w:r>
              <w:t xml:space="preserve">Modèles courants</w:t>
            </w:r>
          </w:p>
        </w:tc>
        <w:tc>
          <w:tcPr/>
          <w:p>
            <w:pPr>
              <w:pStyle w:val="Compact"/>
            </w:pPr>
            <w:r>
              <w:t xml:space="preserve">Prix indicatif (occasion/neuf)</w:t>
            </w:r>
          </w:p>
        </w:tc>
        <w:tc>
          <w:tcPr/>
          <w:p>
            <w:pPr>
              <w:pStyle w:val="Compact"/>
            </w:pPr>
            <w:r>
              <w:t xml:space="preserve">Conso ville réelle</w:t>
            </w:r>
          </w:p>
        </w:tc>
      </w:tr>
      <w:tr>
        <w:tc>
          <w:tcPr/>
          <w:p>
            <w:pPr>
              <w:pStyle w:val="Compact"/>
            </w:pPr>
            <w:r>
              <w:t xml:space="preserve">Citadine économique</w:t>
            </w:r>
          </w:p>
        </w:tc>
        <w:tc>
          <w:tcPr/>
          <w:p>
            <w:pPr>
              <w:pStyle w:val="Compact"/>
            </w:pPr>
            <w:r>
              <w:t xml:space="preserve">Suzuki Alto/Celerio/S-Presso, Kia Picanto, Hyundai i10, Renault Kwid</w:t>
            </w:r>
          </w:p>
        </w:tc>
        <w:tc>
          <w:tcPr/>
          <w:p>
            <w:pPr>
              <w:pStyle w:val="Compact"/>
            </w:pPr>
            <w:r>
              <w:t xml:space="preserve">~5–9 M FCFA</w:t>
            </w:r>
          </w:p>
        </w:tc>
        <w:tc>
          <w:tcPr/>
          <w:p>
            <w:pPr>
              <w:pStyle w:val="Compact"/>
            </w:pPr>
            <w:r>
              <w:t xml:space="preserve">5,5–7 L/100 km</w:t>
            </w:r>
          </w:p>
        </w:tc>
      </w:tr>
      <w:tr>
        <w:tc>
          <w:tcPr/>
          <w:p>
            <w:pPr>
              <w:pStyle w:val="Compact"/>
            </w:pPr>
            <w:r>
              <w:t xml:space="preserve">Berline compacte</w:t>
            </w:r>
          </w:p>
        </w:tc>
        <w:tc>
          <w:tcPr/>
          <w:p>
            <w:pPr>
              <w:pStyle w:val="Compact"/>
            </w:pPr>
            <w:r>
              <w:t xml:space="preserve">Suzuki Swift/Dzire/Ciaz, Hyundai Accent, Renault Logan/Sandero</w:t>
            </w:r>
          </w:p>
        </w:tc>
        <w:tc>
          <w:tcPr/>
          <w:p>
            <w:pPr>
              <w:pStyle w:val="Compact"/>
            </w:pPr>
            <w:r>
              <w:t xml:space="preserve">~8–12 M FCFA</w:t>
            </w:r>
          </w:p>
        </w:tc>
        <w:tc>
          <w:tcPr/>
          <w:p>
            <w:pPr>
              <w:pStyle w:val="Compact"/>
            </w:pPr>
            <w:r>
              <w:t xml:space="preserve">6,5–8 L/100 km</w:t>
            </w:r>
          </w:p>
        </w:tc>
      </w:tr>
      <w:tr>
        <w:tc>
          <w:tcPr/>
          <w:p>
            <w:pPr>
              <w:pStyle w:val="Compact"/>
            </w:pPr>
            <w:r>
              <w:t xml:space="preserve">Berline référence</w:t>
            </w:r>
          </w:p>
        </w:tc>
        <w:tc>
          <w:tcPr/>
          <w:p>
            <w:pPr>
              <w:pStyle w:val="Compact"/>
            </w:pPr>
            <w:r>
              <w:t xml:space="preserve">Toyota Corolla (occasion)</w:t>
            </w:r>
          </w:p>
        </w:tc>
        <w:tc>
          <w:tcPr/>
          <w:p>
            <w:pPr>
              <w:pStyle w:val="Compact"/>
            </w:pPr>
            <w:r>
              <w:t xml:space="preserve">~3,5–6 M FCFA</w:t>
            </w:r>
          </w:p>
        </w:tc>
        <w:tc>
          <w:tcPr/>
          <w:p>
            <w:pPr>
              <w:pStyle w:val="Compact"/>
            </w:pPr>
            <w:r>
              <w:t xml:space="preserve">8–9 L/100 km</w:t>
            </w:r>
          </w:p>
        </w:tc>
      </w:tr>
      <w:tr>
        <w:tc>
          <w:tcPr/>
          <w:p>
            <w:pPr>
              <w:pStyle w:val="Compact"/>
            </w:pPr>
            <w:r>
              <w:t xml:space="preserve">Premium / confort</w:t>
            </w:r>
          </w:p>
        </w:tc>
        <w:tc>
          <w:tcPr/>
          <w:p>
            <w:pPr>
              <w:pStyle w:val="Compact"/>
            </w:pPr>
            <w:r>
              <w:t xml:space="preserve">SUV compacts (Grand Vitara, etc.)</w:t>
            </w:r>
          </w:p>
        </w:tc>
        <w:tc>
          <w:tcPr/>
          <w:p>
            <w:pPr>
              <w:pStyle w:val="Compact"/>
            </w:pPr>
            <w:r>
              <w:t xml:space="preserve">15 M+ FCFA</w:t>
            </w:r>
          </w:p>
        </w:tc>
        <w:tc>
          <w:tcPr/>
          <w:p>
            <w:pPr>
              <w:pStyle w:val="Compact"/>
            </w:pPr>
            <w:r>
              <w:t xml:space="preserve">8–10 L/100 km</w:t>
            </w:r>
          </w:p>
        </w:tc>
      </w:tr>
    </w:tbl>
    <w:p>
      <w:pPr>
        <w:pStyle w:val="BodyText"/>
      </w:pPr>
      <w:r>
        <w:t xml:space="preserve">La Corolla d'occasion reste la valeur sûre (fiabilité, disponibilité des pièces), mais les citadines neuves type Suzuki/Kia gagnent du terrain pour leur faible consommation et leur coût d'entretien réduit.</w:t>
      </w:r>
    </w:p>
    <w:bookmarkEnd w:id="22"/>
    <w:bookmarkStart w:id="23" w:name="hypothèse-dusage--profil-de-référence"/>
    <w:p>
      <w:pPr>
        <w:pStyle w:val="Heading3"/>
      </w:pPr>
      <w:r>
        <w:t xml:space="preserve">Hypothèse d'usage — profil de référence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Paramètre</w:t>
            </w:r>
          </w:p>
        </w:tc>
        <w:tc>
          <w:tcPr/>
          <w:p>
            <w:pPr>
              <w:pStyle w:val="Compact"/>
            </w:pPr>
            <w:r>
              <w:t xml:space="preserve">Valeur retenue</w:t>
            </w:r>
          </w:p>
        </w:tc>
      </w:tr>
      <w:tr>
        <w:tc>
          <w:tcPr/>
          <w:p>
            <w:pPr>
              <w:pStyle w:val="Compact"/>
            </w:pPr>
            <w:r>
              <w:t xml:space="preserve">Jours travaillés</w:t>
            </w:r>
          </w:p>
        </w:tc>
        <w:tc>
          <w:tcPr/>
          <w:p>
            <w:pPr>
              <w:pStyle w:val="Compact"/>
            </w:pPr>
            <w:r>
              <w:t xml:space="preserve">~26 / mois</w:t>
            </w:r>
          </w:p>
        </w:tc>
      </w:tr>
      <w:tr>
        <w:tc>
          <w:tcPr/>
          <w:p>
            <w:pPr>
              <w:pStyle w:val="Compact"/>
            </w:pPr>
            <w:r>
              <w:t xml:space="preserve">Distance quotidienne (trafic Abidjan)</w:t>
            </w:r>
          </w:p>
        </w:tc>
        <w:tc>
          <w:tcPr/>
          <w:p>
            <w:pPr>
              <w:pStyle w:val="Compact"/>
            </w:pPr>
            <w:r>
              <w:t xml:space="preserve">~140 km/jour</w:t>
            </w:r>
          </w:p>
        </w:tc>
      </w:tr>
      <w:tr>
        <w:tc>
          <w:tcPr/>
          <w:p>
            <w:pPr>
              <w:pStyle w:val="Compact"/>
            </w:pPr>
            <w:r>
              <w:rPr>
                <w:b/>
                <w:bCs/>
              </w:rPr>
              <w:t xml:space="preserve">Kilométrage annuel</w:t>
            </w:r>
          </w:p>
        </w:tc>
        <w:tc>
          <w:tcPr/>
          <w:p>
            <w:pPr>
              <w:pStyle w:val="Compact"/>
            </w:pPr>
            <w:r>
              <w:rPr>
                <w:b/>
                <w:bCs/>
              </w:rPr>
              <w:t xml:space="preserve">~43 700 km/an</w:t>
            </w:r>
          </w:p>
        </w:tc>
      </w:tr>
      <w:tr>
        <w:tc>
          <w:tcPr/>
          <w:p>
            <w:pPr>
              <w:pStyle w:val="Compact"/>
            </w:pPr>
            <w:r>
              <w:t xml:space="preserve">Comparaison véhicule particulier</w:t>
            </w:r>
          </w:p>
        </w:tc>
        <w:tc>
          <w:tcPr/>
          <w:p>
            <w:pPr>
              <w:pStyle w:val="Compact"/>
            </w:pPr>
            <w:r>
              <w:t xml:space="preserve">~15 000 km/an</w:t>
            </w:r>
          </w:p>
        </w:tc>
      </w:tr>
    </w:tbl>
    <w:p>
      <w:pPr>
        <w:pStyle w:val="BlockText"/>
      </w:pPr>
      <w:r>
        <w:rPr>
          <w:b/>
          <w:bCs/>
        </w:rPr>
        <w:t xml:space="preserve">Le fait structurant</w:t>
      </w:r>
      <w:r>
        <w:t xml:space="preserve"> </w:t>
      </w:r>
      <w:r>
        <w:t xml:space="preserve">: à ~44 000 km/an, un VTC accumule en</w:t>
      </w:r>
      <w:r>
        <w:t xml:space="preserve"> </w:t>
      </w:r>
      <w:r>
        <w:rPr>
          <w:b/>
          <w:bCs/>
        </w:rPr>
        <w:t xml:space="preserve">un an</w:t>
      </w:r>
      <w:r>
        <w:t xml:space="preserve"> </w:t>
      </w:r>
      <w:r>
        <w:t xml:space="preserve">ce qu'un particulier met **~3 ans** à faire. Tous les coûts indexés au kilométrage (huile, freins, pneus, embrayage, suspension) sont donc multipliés par 3 par rapport à un usage privé.</w:t>
      </w:r>
    </w:p>
    <w:p>
      <w:r>
        <w:pict>
          <v:rect style="width:0;height:1.5pt" o:hralign="center" o:hrstd="t" o:hr="t"/>
        </w:pict>
      </w:r>
    </w:p>
    <w:bookmarkEnd w:id="23"/>
    <w:bookmarkEnd w:id="24"/>
    <w:bookmarkStart w:id="25" w:name="Xe705a0108f4f3c730cfe98068cda1f30a487223"/>
    <w:p>
      <w:pPr>
        <w:pStyle w:val="Heading2"/>
      </w:pPr>
      <w:r>
        <w:t xml:space="preserve">3. Structure de coûts complète (vue d'ensemble)</w:t>
      </w:r>
    </w:p>
    <w:p>
      <w:pPr>
        <w:pStyle w:val="FirstParagraph"/>
      </w:pPr>
      <w:r>
        <w:t xml:space="preserve">Pour le profil de référence (compact essence, usage intensif), répartition annuelle indicative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Poste</w:t>
            </w:r>
          </w:p>
        </w:tc>
        <w:tc>
          <w:tcPr/>
          <w:p>
            <w:pPr>
              <w:pStyle w:val="Compact"/>
            </w:pPr>
            <w:r>
              <w:t xml:space="preserve">Montant annuel indicatif</w:t>
            </w:r>
          </w:p>
        </w:tc>
        <w:tc>
          <w:tcPr/>
          <w:p>
            <w:pPr>
              <w:pStyle w:val="Compact"/>
            </w:pPr>
            <w:r>
              <w:t xml:space="preserve">Nature</w:t>
            </w:r>
          </w:p>
        </w:tc>
      </w:tr>
      <w:tr>
        <w:tc>
          <w:tcPr/>
          <w:p>
            <w:pPr>
              <w:pStyle w:val="Compact"/>
            </w:pPr>
            <w:r>
              <w:t xml:space="preserve">Carburant (super 875 F/L)</w:t>
            </w:r>
          </w:p>
        </w:tc>
        <w:tc>
          <w:tcPr/>
          <w:p>
            <w:pPr>
              <w:pStyle w:val="Compact"/>
            </w:pPr>
            <w:r>
              <w:t xml:space="preserve">2 680 000 F</w:t>
            </w:r>
          </w:p>
        </w:tc>
        <w:tc>
          <w:tcPr/>
          <w:p>
            <w:pPr>
              <w:pStyle w:val="Compact"/>
            </w:pPr>
            <w:r>
              <w:t xml:space="preserve">Variable</w:t>
            </w:r>
          </w:p>
        </w:tc>
      </w:tr>
      <w:tr>
        <w:tc>
          <w:tcPr/>
          <w:p>
            <w:pPr>
              <w:pStyle w:val="Compact"/>
            </w:pPr>
            <w:r>
              <w:rPr>
                <w:b/>
                <w:bCs/>
              </w:rPr>
              <w:t xml:space="preserve">Pièces détachées &amp; consommables</w:t>
            </w:r>
          </w:p>
        </w:tc>
        <w:tc>
          <w:tcPr/>
          <w:p>
            <w:pPr>
              <w:pStyle w:val="Compact"/>
            </w:pPr>
            <w:r>
              <w:rPr>
                <w:b/>
                <w:bCs/>
              </w:rPr>
              <w:t xml:space="preserve">~1 280 000 F</w:t>
            </w:r>
          </w:p>
        </w:tc>
        <w:tc>
          <w:tcPr/>
          <w:p>
            <w:pPr>
              <w:pStyle w:val="Compact"/>
            </w:pPr>
            <w:r>
              <w:rPr>
                <w:b/>
                <w:bCs/>
              </w:rPr>
              <w:t xml:space="preserve">Variable — pilotable</w:t>
            </w:r>
          </w:p>
        </w:tc>
      </w:tr>
      <w:tr>
        <w:tc>
          <w:tcPr/>
          <w:p>
            <w:pPr>
              <w:pStyle w:val="Compact"/>
            </w:pPr>
            <w:r>
              <w:t xml:space="preserve">Réparations imprévues + carrosserie (provision)</w:t>
            </w:r>
          </w:p>
        </w:tc>
        <w:tc>
          <w:tcPr/>
          <w:p>
            <w:pPr>
              <w:pStyle w:val="Compact"/>
            </w:pPr>
            <w:r>
              <w:t xml:space="preserve">400 000 F</w:t>
            </w:r>
          </w:p>
        </w:tc>
        <w:tc>
          <w:tcPr/>
          <w:p>
            <w:pPr>
              <w:pStyle w:val="Compact"/>
            </w:pPr>
            <w:r>
              <w:t xml:space="preserve">Aléatoire</w:t>
            </w:r>
          </w:p>
        </w:tc>
      </w:tr>
      <w:tr>
        <w:tc>
          <w:tcPr/>
          <w:p>
            <w:pPr>
              <w:pStyle w:val="Compact"/>
            </w:pPr>
            <w:r>
              <w:t xml:space="preserve">Assurance</w:t>
            </w:r>
          </w:p>
        </w:tc>
        <w:tc>
          <w:tcPr/>
          <w:p>
            <w:pPr>
              <w:pStyle w:val="Compact"/>
            </w:pPr>
            <w:r>
              <w:t xml:space="preserve">250 000 – 400 000 F</w:t>
            </w:r>
          </w:p>
        </w:tc>
        <w:tc>
          <w:tcPr/>
          <w:p>
            <w:pPr>
              <w:pStyle w:val="Compact"/>
            </w:pPr>
            <w:r>
              <w:t xml:space="preserve">Fixe</w:t>
            </w:r>
          </w:p>
        </w:tc>
      </w:tr>
      <w:tr>
        <w:tc>
          <w:tcPr/>
          <w:p>
            <w:pPr>
              <w:pStyle w:val="Compact"/>
            </w:pPr>
            <w:r>
              <w:t xml:space="preserve">Réglementaire (visite technique, patente, vignette)</w:t>
            </w:r>
          </w:p>
        </w:tc>
        <w:tc>
          <w:tcPr/>
          <w:p>
            <w:pPr>
              <w:pStyle w:val="Compact"/>
            </w:pPr>
            <w:r>
              <w:t xml:space="preserve">150 000 – 250 000 F</w:t>
            </w:r>
          </w:p>
        </w:tc>
        <w:tc>
          <w:tcPr/>
          <w:p>
            <w:pPr>
              <w:pStyle w:val="Compact"/>
            </w:pPr>
            <w:r>
              <w:t xml:space="preserve">Fixe</w:t>
            </w:r>
          </w:p>
        </w:tc>
      </w:tr>
      <w:tr>
        <w:tc>
          <w:tcPr/>
          <w:p>
            <w:pPr>
              <w:pStyle w:val="Compact"/>
            </w:pPr>
            <w:r>
              <w:t xml:space="preserve">Amortissement véhicule (vie ~4–5 ans en intensif)</w:t>
            </w:r>
          </w:p>
        </w:tc>
        <w:tc>
          <w:tcPr/>
          <w:p>
            <w:pPr>
              <w:pStyle w:val="Compact"/>
            </w:pPr>
            <w:r>
              <w:t xml:space="preserve">1 000 000 – 1 500 000 F</w:t>
            </w:r>
          </w:p>
        </w:tc>
        <w:tc>
          <w:tcPr/>
          <w:p>
            <w:pPr>
              <w:pStyle w:val="Compact"/>
            </w:pPr>
            <w:r>
              <w:t xml:space="preserve">Fixe</w:t>
            </w:r>
          </w:p>
        </w:tc>
      </w:tr>
      <w:tr>
        <w:tc>
          <w:tcPr/>
          <w:p>
            <w:pPr>
              <w:pStyle w:val="Compact"/>
            </w:pPr>
            <w:r>
              <w:t xml:space="preserve">Commission plateforme (18–23 %) + taxe 4 %</w:t>
            </w:r>
          </w:p>
        </w:tc>
        <w:tc>
          <w:tcPr/>
          <w:p>
            <w:pPr>
              <w:pStyle w:val="Compact"/>
            </w:pPr>
            <w:r>
              <w:t xml:space="preserve">~20–27 % du CA</w:t>
            </w:r>
          </w:p>
        </w:tc>
        <w:tc>
          <w:tcPr/>
          <w:p>
            <w:pPr>
              <w:pStyle w:val="Compact"/>
            </w:pPr>
            <w:r>
              <w:t xml:space="preserve">Sur recette</w:t>
            </w:r>
          </w:p>
        </w:tc>
      </w:tr>
    </w:tbl>
    <w:p>
      <w:pPr>
        <w:pStyle w:val="BodyText"/>
      </w:pPr>
      <w:r>
        <w:rPr>
          <w:b/>
          <w:bCs/>
        </w:rPr>
        <w:t xml:space="preserve">Lecture clé</w:t>
      </w:r>
      <w:r>
        <w:t xml:space="preserve"> </w:t>
      </w:r>
      <w:r>
        <w:t xml:space="preserve">: hors carburant et hors commission (largement subis),</w:t>
      </w:r>
      <w:r>
        <w:t xml:space="preserve"> </w:t>
      </w:r>
      <w:r>
        <w:rPr>
          <w:b/>
          <w:bCs/>
        </w:rPr>
        <w:t xml:space="preserve">les pièces &amp; consommables sont le premier poste de coût sur lequel un gestionnaire peut réellement agir</w:t>
      </w:r>
      <w:r>
        <w:t xml:space="preserve">. C'est là que se joue la différence entre un véhicule rentable et un « gouffre ».</w:t>
      </w:r>
    </w:p>
    <w:p>
      <w:r>
        <w:pict>
          <v:rect style="width:0;height:1.5pt" o:hralign="center" o:hrstd="t" o:hr="t"/>
        </w:pict>
      </w:r>
    </w:p>
    <w:bookmarkEnd w:id="25"/>
    <w:bookmarkStart w:id="29" w:name="Xea5c7886491c753c32cbec277e1bf3fa59c75e5"/>
    <w:p>
      <w:pPr>
        <w:pStyle w:val="Heading2"/>
      </w:pPr>
      <w:r>
        <w:t xml:space="preserve">4. ⭐ Focus — dépenses en pièces détachées et consommables</w:t>
      </w:r>
    </w:p>
    <w:p>
      <w:pPr>
        <w:pStyle w:val="FirstParagraph"/>
      </w:pPr>
      <w:r>
        <w:t xml:space="preserve">C'est le cœur de l'étude. Le tableau ci-dessous détaille, pour le profil de référence (~44 000 km/an, compact essence), chaque poste avec son intervalle réel d'usage VTC, son coût unitaire de marché (pièce + main-d'œuvre) et son coût annualisé.</w:t>
      </w:r>
    </w:p>
    <w:bookmarkStart w:id="26" w:name="Xf39e33e0043b3fd9a703807a6a7af7650614d0f"/>
    <w:p>
      <w:pPr>
        <w:pStyle w:val="Heading3"/>
      </w:pPr>
      <w:r>
        <w:t xml:space="preserve">4.1 Tableau détaillé des consommables et pièces d'usure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Poste</w:t>
            </w:r>
          </w:p>
        </w:tc>
        <w:tc>
          <w:tcPr/>
          <w:p>
            <w:pPr>
              <w:pStyle w:val="Compact"/>
            </w:pPr>
            <w:r>
              <w:t xml:space="preserve">Intervalle usage VTC</w:t>
            </w:r>
          </w:p>
        </w:tc>
        <w:tc>
          <w:tcPr/>
          <w:p>
            <w:pPr>
              <w:pStyle w:val="Compact"/>
            </w:pPr>
            <w:r>
              <w:t xml:space="preserve">Coût unitaire (pièce + MO)</w:t>
            </w:r>
          </w:p>
        </w:tc>
        <w:tc>
          <w:tcPr/>
          <w:p>
            <w:pPr>
              <w:pStyle w:val="Compact"/>
            </w:pPr>
            <w:r>
              <w:t xml:space="preserve">Fréq./an</w:t>
            </w:r>
          </w:p>
        </w:tc>
        <w:tc>
          <w:tcPr/>
          <w:p>
            <w:pPr>
              <w:pStyle w:val="Compact"/>
            </w:pPr>
            <w:r>
              <w:rPr>
                <w:b/>
                <w:bCs/>
              </w:rPr>
              <w:t xml:space="preserve">Coût annuel</w:t>
            </w:r>
          </w:p>
        </w:tc>
      </w:tr>
      <w:tr>
        <w:tc>
          <w:tcPr/>
          <w:p>
            <w:pPr>
              <w:pStyle w:val="Compact"/>
            </w:pPr>
            <w:r>
              <w:t xml:space="preserve">Vidange huile moteur + filtre à huile</w:t>
            </w:r>
          </w:p>
        </w:tc>
        <w:tc>
          <w:tcPr/>
          <w:p>
            <w:pPr>
              <w:pStyle w:val="Compact"/>
            </w:pPr>
            <w:r>
              <w:t xml:space="preserve">~5 000 km</w:t>
            </w:r>
          </w:p>
        </w:tc>
        <w:tc>
          <w:tcPr/>
          <w:p>
            <w:pPr>
              <w:pStyle w:val="Compact"/>
            </w:pPr>
            <w:r>
              <w:t xml:space="preserve">25 000 – 35 000 F</w:t>
            </w:r>
          </w:p>
        </w:tc>
        <w:tc>
          <w:tcPr/>
          <w:p>
            <w:pPr>
              <w:pStyle w:val="Compact"/>
            </w:pPr>
            <w:r>
              <w:t xml:space="preserve">~8</w:t>
            </w:r>
          </w:p>
        </w:tc>
        <w:tc>
          <w:tcPr/>
          <w:p>
            <w:pPr>
              <w:pStyle w:val="Compact"/>
            </w:pPr>
            <w:r>
              <w:rPr>
                <w:b/>
                <w:bCs/>
              </w:rPr>
              <w:t xml:space="preserve">~224 000 F</w:t>
            </w:r>
          </w:p>
        </w:tc>
      </w:tr>
      <w:tr>
        <w:tc>
          <w:tcPr/>
          <w:p>
            <w:pPr>
              <w:pStyle w:val="Compact"/>
            </w:pPr>
            <w:r>
              <w:t xml:space="preserve">Filtre à air</w:t>
            </w:r>
          </w:p>
        </w:tc>
        <w:tc>
          <w:tcPr/>
          <w:p>
            <w:pPr>
              <w:pStyle w:val="Compact"/>
            </w:pPr>
            <w:r>
              <w:t xml:space="preserve">~15 000 km</w:t>
            </w:r>
          </w:p>
        </w:tc>
        <w:tc>
          <w:tcPr/>
          <w:p>
            <w:pPr>
              <w:pStyle w:val="Compact"/>
            </w:pPr>
            <w:r>
              <w:t xml:space="preserve">10 000 – 15 000 F</w:t>
            </w:r>
          </w:p>
        </w:tc>
        <w:tc>
          <w:tcPr/>
          <w:p>
            <w:pPr>
              <w:pStyle w:val="Compact"/>
            </w:pPr>
            <w:r>
              <w:t xml:space="preserve">~3</w:t>
            </w:r>
          </w:p>
        </w:tc>
        <w:tc>
          <w:tcPr/>
          <w:p>
            <w:pPr>
              <w:pStyle w:val="Compact"/>
            </w:pPr>
            <w:r>
              <w:rPr>
                <w:b/>
                <w:bCs/>
              </w:rPr>
              <w:t xml:space="preserve">~36 000 F</w:t>
            </w:r>
          </w:p>
        </w:tc>
      </w:tr>
      <w:tr>
        <w:tc>
          <w:tcPr/>
          <w:p>
            <w:pPr>
              <w:pStyle w:val="Compact"/>
            </w:pPr>
            <w:r>
              <w:t xml:space="preserve">Filtre habitacle + filtre carburant</w:t>
            </w:r>
          </w:p>
        </w:tc>
        <w:tc>
          <w:tcPr/>
          <w:p>
            <w:pPr>
              <w:pStyle w:val="Compact"/>
            </w:pPr>
            <w:r>
              <w:t xml:space="preserve">~20 000 km</w:t>
            </w:r>
          </w:p>
        </w:tc>
        <w:tc>
          <w:tcPr/>
          <w:p>
            <w:pPr>
              <w:pStyle w:val="Compact"/>
            </w:pPr>
            <w:r>
              <w:t xml:space="preserve">12 000 – 18 000 F</w:t>
            </w:r>
          </w:p>
        </w:tc>
        <w:tc>
          <w:tcPr/>
          <w:p>
            <w:pPr>
              <w:pStyle w:val="Compact"/>
            </w:pPr>
            <w:r>
              <w:t xml:space="preserve">~2</w:t>
            </w:r>
          </w:p>
        </w:tc>
        <w:tc>
          <w:tcPr/>
          <w:p>
            <w:pPr>
              <w:pStyle w:val="Compact"/>
            </w:pPr>
            <w:r>
              <w:rPr>
                <w:b/>
                <w:bCs/>
              </w:rPr>
              <w:t xml:space="preserve">~30 000 F</w:t>
            </w:r>
          </w:p>
        </w:tc>
      </w:tr>
      <w:tr>
        <w:tc>
          <w:tcPr/>
          <w:p>
            <w:pPr>
              <w:pStyle w:val="Compact"/>
            </w:pPr>
            <w:r>
              <w:t xml:space="preserve">Plaquettes de frein (avant)</w:t>
            </w:r>
          </w:p>
        </w:tc>
        <w:tc>
          <w:tcPr/>
          <w:p>
            <w:pPr>
              <w:pStyle w:val="Compact"/>
            </w:pPr>
            <w:r>
              <w:t xml:space="preserve">~20 000 km</w:t>
            </w:r>
          </w:p>
        </w:tc>
        <w:tc>
          <w:tcPr/>
          <w:p>
            <w:pPr>
              <w:pStyle w:val="Compact"/>
            </w:pPr>
            <w:r>
              <w:t xml:space="preserve">40 000 – 60 000 F</w:t>
            </w:r>
          </w:p>
        </w:tc>
        <w:tc>
          <w:tcPr/>
          <w:p>
            <w:pPr>
              <w:pStyle w:val="Compact"/>
            </w:pPr>
            <w:r>
              <w:t xml:space="preserve">~2</w:t>
            </w:r>
          </w:p>
        </w:tc>
        <w:tc>
          <w:tcPr/>
          <w:p>
            <w:pPr>
              <w:pStyle w:val="Compact"/>
            </w:pPr>
            <w:r>
              <w:rPr>
                <w:b/>
                <w:bCs/>
              </w:rPr>
              <w:t xml:space="preserve">~90 000 F</w:t>
            </w:r>
          </w:p>
        </w:tc>
      </w:tr>
      <w:tr>
        <w:tc>
          <w:tcPr/>
          <w:p>
            <w:pPr>
              <w:pStyle w:val="Compact"/>
            </w:pPr>
            <w:r>
              <w:t xml:space="preserve">Disques de frein (amortis)</w:t>
            </w:r>
          </w:p>
        </w:tc>
        <w:tc>
          <w:tcPr/>
          <w:p>
            <w:pPr>
              <w:pStyle w:val="Compact"/>
            </w:pPr>
            <w:r>
              <w:t xml:space="preserve">~50 000 km</w:t>
            </w:r>
          </w:p>
        </w:tc>
        <w:tc>
          <w:tcPr/>
          <w:p>
            <w:pPr>
              <w:pStyle w:val="Compact"/>
            </w:pPr>
            <w:r>
              <w:t xml:space="preserve">60 000 – 90 000 F</w:t>
            </w:r>
          </w:p>
        </w:tc>
        <w:tc>
          <w:tcPr/>
          <w:p>
            <w:pPr>
              <w:pStyle w:val="Compact"/>
            </w:pPr>
            <w:r>
              <w:t xml:space="preserve">~0,9</w:t>
            </w:r>
          </w:p>
        </w:tc>
        <w:tc>
          <w:tcPr/>
          <w:p>
            <w:pPr>
              <w:pStyle w:val="Compact"/>
            </w:pPr>
            <w:r>
              <w:rPr>
                <w:b/>
                <w:bCs/>
              </w:rPr>
              <w:t xml:space="preserve">~60 000 F</w:t>
            </w:r>
          </w:p>
        </w:tc>
      </w:tr>
      <w:tr>
        <w:tc>
          <w:tcPr/>
          <w:p>
            <w:pPr>
              <w:pStyle w:val="Compact"/>
            </w:pPr>
            <w:r>
              <w:t xml:space="preserve">Pneus — jeu de 4 + montage/équilibrage</w:t>
            </w:r>
          </w:p>
        </w:tc>
        <w:tc>
          <w:tcPr/>
          <w:p>
            <w:pPr>
              <w:pStyle w:val="Compact"/>
            </w:pPr>
            <w:r>
              <w:t xml:space="preserve">~30–40 000 km</w:t>
            </w:r>
          </w:p>
        </w:tc>
        <w:tc>
          <w:tcPr/>
          <w:p>
            <w:pPr>
              <w:pStyle w:val="Compact"/>
            </w:pPr>
            <w:r>
              <w:t xml:space="preserve">250 000 – 330 000 F</w:t>
            </w:r>
          </w:p>
        </w:tc>
        <w:tc>
          <w:tcPr/>
          <w:p>
            <w:pPr>
              <w:pStyle w:val="Compact"/>
            </w:pPr>
            <w:r>
              <w:t xml:space="preserve">~1,2</w:t>
            </w:r>
          </w:p>
        </w:tc>
        <w:tc>
          <w:tcPr/>
          <w:p>
            <w:pPr>
              <w:pStyle w:val="Compact"/>
            </w:pPr>
            <w:r>
              <w:rPr>
                <w:b/>
                <w:bCs/>
              </w:rPr>
              <w:t xml:space="preserve">~350 000 F</w:t>
            </w:r>
          </w:p>
        </w:tc>
      </w:tr>
      <w:tr>
        <w:tc>
          <w:tcPr/>
          <w:p>
            <w:pPr>
              <w:pStyle w:val="Compact"/>
            </w:pPr>
            <w:r>
              <w:t xml:space="preserve">Suspension (amortisseurs, rotules, biellettes) — routes dégradées</w:t>
            </w:r>
          </w:p>
        </w:tc>
        <w:tc>
          <w:tcPr/>
          <w:p>
            <w:pPr>
              <w:pStyle w:val="Compact"/>
            </w:pPr>
            <w:r>
              <w:t xml:space="preserve">variable</w:t>
            </w:r>
          </w:p>
        </w:tc>
        <w:tc>
          <w:tcPr/>
          <w:p>
            <w:pPr>
              <w:pStyle w:val="Compact"/>
            </w:pPr>
            <w:r>
              <w:t xml:space="preserve">—</w:t>
            </w:r>
          </w:p>
        </w:tc>
        <w:tc>
          <w:tcPr/>
          <w:p>
            <w:pPr>
              <w:pStyle w:val="Compact"/>
            </w:pPr>
            <w:r>
              <w:t xml:space="preserve">—</w:t>
            </w:r>
          </w:p>
        </w:tc>
        <w:tc>
          <w:tcPr/>
          <w:p>
            <w:pPr>
              <w:pStyle w:val="Compact"/>
            </w:pPr>
            <w:r>
              <w:rPr>
                <w:b/>
                <w:bCs/>
              </w:rPr>
              <w:t xml:space="preserve">~180 000 F</w:t>
            </w:r>
          </w:p>
        </w:tc>
      </w:tr>
      <w:tr>
        <w:tc>
          <w:tcPr/>
          <w:p>
            <w:pPr>
              <w:pStyle w:val="Compact"/>
            </w:pPr>
            <w:r>
              <w:t xml:space="preserve">Courroie distribution/accessoires (amortie)</w:t>
            </w:r>
          </w:p>
        </w:tc>
        <w:tc>
          <w:tcPr/>
          <w:p>
            <w:pPr>
              <w:pStyle w:val="Compact"/>
            </w:pPr>
            <w:r>
              <w:t xml:space="preserve">60–80 000 km</w:t>
            </w:r>
          </w:p>
        </w:tc>
        <w:tc>
          <w:tcPr/>
          <w:p>
            <w:pPr>
              <w:pStyle w:val="Compact"/>
            </w:pPr>
            <w:r>
              <w:t xml:space="preserve">90 000 – 150 000 F</w:t>
            </w:r>
          </w:p>
        </w:tc>
        <w:tc>
          <w:tcPr/>
          <w:p>
            <w:pPr>
              <w:pStyle w:val="Compact"/>
            </w:pPr>
            <w:r>
              <w:t xml:space="preserve">~0,6</w:t>
            </w:r>
          </w:p>
        </w:tc>
        <w:tc>
          <w:tcPr/>
          <w:p>
            <w:pPr>
              <w:pStyle w:val="Compact"/>
            </w:pPr>
            <w:r>
              <w:rPr>
                <w:b/>
                <w:bCs/>
              </w:rPr>
              <w:t xml:space="preserve">~72 000 F</w:t>
            </w:r>
          </w:p>
        </w:tc>
      </w:tr>
      <w:tr>
        <w:tc>
          <w:tcPr/>
          <w:p>
            <w:pPr>
              <w:pStyle w:val="Compact"/>
            </w:pPr>
            <w:r>
              <w:t xml:space="preserve">Embrayage — boîte manuelle (amorti)</w:t>
            </w:r>
          </w:p>
        </w:tc>
        <w:tc>
          <w:tcPr/>
          <w:p>
            <w:pPr>
              <w:pStyle w:val="Compact"/>
            </w:pPr>
            <w:r>
              <w:t xml:space="preserve">~100 000 km</w:t>
            </w:r>
          </w:p>
        </w:tc>
        <w:tc>
          <w:tcPr/>
          <w:p>
            <w:pPr>
              <w:pStyle w:val="Compact"/>
            </w:pPr>
            <w:r>
              <w:t xml:space="preserve">150 000 – 250 000 F</w:t>
            </w:r>
          </w:p>
        </w:tc>
        <w:tc>
          <w:tcPr/>
          <w:p>
            <w:pPr>
              <w:pStyle w:val="Compact"/>
            </w:pPr>
            <w:r>
              <w:t xml:space="preserve">~0,4</w:t>
            </w:r>
          </w:p>
        </w:tc>
        <w:tc>
          <w:tcPr/>
          <w:p>
            <w:pPr>
              <w:pStyle w:val="Compact"/>
            </w:pPr>
            <w:r>
              <w:rPr>
                <w:b/>
                <w:bCs/>
              </w:rPr>
              <w:t xml:space="preserve">~80 000 F</w:t>
            </w:r>
          </w:p>
        </w:tc>
      </w:tr>
      <w:tr>
        <w:tc>
          <w:tcPr/>
          <w:p>
            <w:pPr>
              <w:pStyle w:val="Compact"/>
            </w:pPr>
            <w:r>
              <w:t xml:space="preserve">Batterie (amortie)</w:t>
            </w:r>
          </w:p>
        </w:tc>
        <w:tc>
          <w:tcPr/>
          <w:p>
            <w:pPr>
              <w:pStyle w:val="Compact"/>
            </w:pPr>
            <w:r>
              <w:t xml:space="preserve">~24 mois</w:t>
            </w:r>
          </w:p>
        </w:tc>
        <w:tc>
          <w:tcPr/>
          <w:p>
            <w:pPr>
              <w:pStyle w:val="Compact"/>
            </w:pPr>
            <w:r>
              <w:t xml:space="preserve">60 000 – 90 000 F</w:t>
            </w:r>
          </w:p>
        </w:tc>
        <w:tc>
          <w:tcPr/>
          <w:p>
            <w:pPr>
              <w:pStyle w:val="Compact"/>
            </w:pPr>
            <w:r>
              <w:t xml:space="preserve">~0,5</w:t>
            </w:r>
          </w:p>
        </w:tc>
        <w:tc>
          <w:tcPr/>
          <w:p>
            <w:pPr>
              <w:pStyle w:val="Compact"/>
            </w:pPr>
            <w:r>
              <w:rPr>
                <w:b/>
                <w:bCs/>
              </w:rPr>
              <w:t xml:space="preserve">~38 000 F</w:t>
            </w:r>
          </w:p>
        </w:tc>
      </w:tr>
      <w:tr>
        <w:tc>
          <w:tcPr/>
          <w:p>
            <w:pPr>
              <w:pStyle w:val="Compact"/>
            </w:pPr>
            <w:r>
              <w:t xml:space="preserve">Climatisation (recharge/entretien — usage permanent)</w:t>
            </w:r>
          </w:p>
        </w:tc>
        <w:tc>
          <w:tcPr/>
          <w:p>
            <w:pPr>
              <w:pStyle w:val="Compact"/>
            </w:pPr>
            <w:r>
              <w:t xml:space="preserve">annuel</w:t>
            </w:r>
          </w:p>
        </w:tc>
        <w:tc>
          <w:tcPr/>
          <w:p>
            <w:pPr>
              <w:pStyle w:val="Compact"/>
            </w:pPr>
            <w:r>
              <w:t xml:space="preserve">40 000 – 80 000 F</w:t>
            </w:r>
          </w:p>
        </w:tc>
        <w:tc>
          <w:tcPr/>
          <w:p>
            <w:pPr>
              <w:pStyle w:val="Compact"/>
            </w:pPr>
            <w:r>
              <w:t xml:space="preserve">1</w:t>
            </w:r>
          </w:p>
        </w:tc>
        <w:tc>
          <w:tcPr/>
          <w:p>
            <w:pPr>
              <w:pStyle w:val="Compact"/>
            </w:pPr>
            <w:r>
              <w:rPr>
                <w:b/>
                <w:bCs/>
              </w:rPr>
              <w:t xml:space="preserve">~60 000 F</w:t>
            </w:r>
          </w:p>
        </w:tc>
      </w:tr>
      <w:tr>
        <w:tc>
          <w:tcPr/>
          <w:p>
            <w:pPr>
              <w:pStyle w:val="Compact"/>
            </w:pPr>
            <w:r>
              <w:t xml:space="preserve">Bougies, fluides, essuie-glaces, ampoules, petites pièces</w:t>
            </w:r>
          </w:p>
        </w:tc>
        <w:tc>
          <w:tcPr/>
          <w:p>
            <w:pPr>
              <w:pStyle w:val="Compact"/>
            </w:pPr>
            <w:r>
              <w:t xml:space="preserve">divers</w:t>
            </w:r>
          </w:p>
        </w:tc>
        <w:tc>
          <w:tcPr/>
          <w:p>
            <w:pPr>
              <w:pStyle w:val="Compact"/>
            </w:pPr>
            <w:r>
              <w:t xml:space="preserve">—</w:t>
            </w:r>
          </w:p>
        </w:tc>
        <w:tc>
          <w:tcPr/>
          <w:p>
            <w:pPr>
              <w:pStyle w:val="Compact"/>
            </w:pPr>
            <w:r>
              <w:t xml:space="preserve">—</w:t>
            </w:r>
          </w:p>
        </w:tc>
        <w:tc>
          <w:tcPr/>
          <w:p>
            <w:pPr>
              <w:pStyle w:val="Compact"/>
            </w:pPr>
            <w:r>
              <w:rPr>
                <w:b/>
                <w:bCs/>
              </w:rPr>
              <w:t xml:space="preserve">~70 000 F</w:t>
            </w:r>
          </w:p>
        </w:tc>
      </w:tr>
      <w:tr>
        <w:tc>
          <w:tcPr/>
          <w:p>
            <w:pPr>
              <w:pStyle w:val="Compact"/>
            </w:pPr>
            <w:r>
              <w:rPr>
                <w:b/>
                <w:bCs/>
              </w:rPr>
              <w:t xml:space="preserve">TOTAL pièces &amp; consommables</w:t>
            </w:r>
          </w:p>
        </w:tc>
        <w:tc>
          <w:tcPr/>
          <w:p>
            <w:pPr>
              <w:pStyle w:val="Compact"/>
            </w:pPr>
          </w:p>
        </w:tc>
        <w:tc>
          <w:tcPr/>
          <w:p>
            <w:pPr>
              <w:pStyle w:val="Compact"/>
            </w:pPr>
          </w:p>
        </w:tc>
        <w:tc>
          <w:tcPr/>
          <w:p>
            <w:pPr>
              <w:pStyle w:val="Compact"/>
            </w:pPr>
          </w:p>
        </w:tc>
        <w:tc>
          <w:tcPr/>
          <w:p>
            <w:pPr>
              <w:pStyle w:val="Compact"/>
            </w:pPr>
            <w:r>
              <w:rPr>
                <w:b/>
                <w:bCs/>
              </w:rPr>
              <w:t xml:space="preserve">≈ 1 280 000 F/an</w:t>
            </w:r>
          </w:p>
        </w:tc>
      </w:tr>
    </w:tbl>
    <w:p>
      <w:pPr>
        <w:pStyle w:val="BodyText"/>
      </w:pPr>
      <w:r>
        <w:t xml:space="preserve">Soit</w:t>
      </w:r>
      <w:r>
        <w:t xml:space="preserve"> </w:t>
      </w:r>
      <w:r>
        <w:rPr>
          <w:b/>
          <w:bCs/>
        </w:rPr>
        <w:t xml:space="preserve">~107 000 FCFA/mois</w:t>
      </w:r>
      <w:r>
        <w:t xml:space="preserve"> </w:t>
      </w:r>
      <w:r>
        <w:t xml:space="preserve">rien qu'en pièces et consommables pour un compact intensif. Pour une Toyota Corolla (consommation pièces plus élevée, mais pièces très disponibles et bon marché), la fourchette monte plutôt vers</w:t>
      </w:r>
      <w:r>
        <w:t xml:space="preserve"> </w:t>
      </w:r>
      <w:r>
        <w:rPr>
          <w:b/>
          <w:bCs/>
        </w:rPr>
        <w:t xml:space="preserve">1,4 à 1,6 M FCFA/an</w:t>
      </w:r>
      <w:r>
        <w:t xml:space="preserve">.</w:t>
      </w:r>
    </w:p>
    <w:bookmarkEnd w:id="26"/>
    <w:bookmarkStart w:id="27" w:name="X3dee9d8f98ac0abf970450f9a3467eacd70cbfc"/>
    <w:p>
      <w:pPr>
        <w:pStyle w:val="Heading3"/>
      </w:pPr>
      <w:r>
        <w:t xml:space="preserve">4.2 Les postes qui dérapent le plus en contexte abidjanais</w:t>
      </w:r>
    </w:p>
    <w:p>
      <w:pPr>
        <w:pStyle w:val="FirstParagraph"/>
      </w:pPr>
      <w:r>
        <w:t xml:space="preserve">Trois familles de pièces sont systématiquement sous-budgétées et expliquent l'essentiel des dépassements :</w:t>
      </w:r>
    </w:p>
    <w:p>
      <w:pPr>
        <w:pStyle w:val="BodyText"/>
      </w:pPr>
      <w:r>
        <w:rPr>
          <w:b/>
          <w:bCs/>
        </w:rPr>
        <w:t xml:space="preserve">Pneumatiques.</w:t>
      </w:r>
      <w:r>
        <w:t xml:space="preserve"> </w:t>
      </w:r>
      <w:r>
        <w:t xml:space="preserve">Chaleur permanente, charge continue, routes abrasives et nids-de-poule réduisent fortement la durée de vie. Un VTC use un jeu de pneus en ~30 000–40 000 km, soit environ un jeu par an, parfois plus. C'est le poste pièce le plus lourd après la vidange cumulée.</w:t>
      </w:r>
    </w:p>
    <w:p>
      <w:pPr>
        <w:pStyle w:val="BodyText"/>
      </w:pPr>
      <w:r>
        <w:rPr>
          <w:b/>
          <w:bCs/>
        </w:rPr>
        <w:t xml:space="preserve">Freinage.</w:t>
      </w:r>
      <w:r>
        <w:t xml:space="preserve"> </w:t>
      </w:r>
      <w:r>
        <w:t xml:space="preserve">Le stop-and-go permanent d'Abidjan (Plateau, Cocody, carrefours saturés) détruit les plaquettes à un rythme bien supérieur à un usage routier. Deux jeux avant par an est réaliste, avec remplacement périodique des disques.</w:t>
      </w:r>
    </w:p>
    <w:p>
      <w:pPr>
        <w:pStyle w:val="BodyText"/>
      </w:pPr>
      <w:r>
        <w:rPr>
          <w:b/>
          <w:bCs/>
        </w:rPr>
        <w:t xml:space="preserve">Suspension &amp; trains roulants.</w:t>
      </w:r>
      <w:r>
        <w:t xml:space="preserve"> </w:t>
      </w:r>
      <w:r>
        <w:t xml:space="preserve">C'est le poste « invisible » : amortisseurs, rotules, biellettes, silentblocs, roulements souffrent énormément des routes dégradées et des dos-d'âne. Souvent négligé jusqu'à la panne, il pèse facilement 150 000–250 000 F/an et dégrade la tenue de route (donc la sécurité et le confort client, donc la note Yango).</w:t>
      </w:r>
    </w:p>
    <w:bookmarkEnd w:id="27"/>
    <w:bookmarkStart w:id="28" w:name="X085a2eb3aa4fbd44fd1df8cd7668a730bcec5e2"/>
    <w:p>
      <w:pPr>
        <w:pStyle w:val="Heading3"/>
      </w:pPr>
      <w:r>
        <w:t xml:space="preserve">4.3 Les coûts cachés au-delà du prix de la pièce</w:t>
      </w:r>
    </w:p>
    <w:p>
      <w:pPr>
        <w:pStyle w:val="FirstParagraph"/>
      </w:pPr>
      <w:r>
        <w:t xml:space="preserve">Le prix affiché de la pièce ne raconte qu'une partie de l'histoire. Trois surcoûts structurels alourdissent la facture réelle :</w:t>
      </w:r>
    </w:p>
    <w:p>
      <w:pPr>
        <w:numPr>
          <w:ilvl w:val="0"/>
          <w:numId w:val="1004"/>
        </w:numPr>
      </w:pPr>
      <w:r>
        <w:rPr>
          <w:b/>
          <w:bCs/>
        </w:rPr>
        <w:t xml:space="preserve">Opacité et dispersion des prix.</w:t>
      </w:r>
      <w:r>
        <w:t xml:space="preserve"> </w:t>
      </w:r>
      <w:r>
        <w:t xml:space="preserve">Sans référence centralisée, chaque achat se fait au coup par coup, mécanicien par mécanicien. Les écarts de prix sur une même référence atteignent couramment 30–50 %.</w:t>
      </w:r>
    </w:p>
    <w:p>
      <w:pPr>
        <w:numPr>
          <w:ilvl w:val="0"/>
          <w:numId w:val="1004"/>
        </w:numPr>
      </w:pPr>
      <w:r>
        <w:rPr>
          <w:b/>
          <w:bCs/>
        </w:rPr>
        <w:t xml:space="preserve">Pièces contrefaites ou de qualité incertaine.</w:t>
      </w:r>
      <w:r>
        <w:t xml:space="preserve"> </w:t>
      </w:r>
      <w:r>
        <w:t xml:space="preserve">Le marché de l'occasion et des pièces « adaptables » non garanties est immense. Une plaquette ou un filtre bas de gamme coûte moins cher à l'achat mais double la fréquence de remplacement — un faux gain.</w:t>
      </w:r>
    </w:p>
    <w:p>
      <w:pPr>
        <w:numPr>
          <w:ilvl w:val="0"/>
          <w:numId w:val="1004"/>
        </w:numPr>
      </w:pPr>
      <w:r>
        <w:rPr>
          <w:b/>
          <w:bCs/>
        </w:rPr>
        <w:t xml:space="preserve">Immobilisation sur rupture.</w:t>
      </w:r>
      <w:r>
        <w:t xml:space="preserve"> </w:t>
      </w:r>
      <w:r>
        <w:t xml:space="preserve">Une pièce critique manquante (plaquette, courroie, filtre) immobilise le véhicule 24 à 48 h. À 15 000–30 000 F de recette/jour perdue,</w:t>
      </w:r>
      <w:r>
        <w:t xml:space="preserve"> </w:t>
      </w:r>
      <w:r>
        <w:rPr>
          <w:b/>
          <w:bCs/>
        </w:rPr>
        <w:t xml:space="preserve">deux ruptures par mois coûtent souvent plus cher que la pièce elle-même</w:t>
      </w:r>
      <w:r>
        <w:t xml:space="preserve">. C'est le coût le plus sous-estimé de tous.</w:t>
      </w:r>
    </w:p>
    <w:p>
      <w:r>
        <w:pict>
          <v:rect style="width:0;height:1.5pt" o:hralign="center" o:hrstd="t" o:hr="t"/>
        </w:pict>
      </w:r>
    </w:p>
    <w:bookmarkEnd w:id="28"/>
    <w:bookmarkEnd w:id="29"/>
    <w:bookmarkStart w:id="30" w:name="X799d070726f75babd8a8b0a2ee3c4de5ffa581d"/>
    <w:p>
      <w:pPr>
        <w:pStyle w:val="Heading2"/>
      </w:pPr>
      <w:r>
        <w:t xml:space="preserve">5. Modèle chiffré — trois profils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Indicateur</w:t>
            </w:r>
          </w:p>
        </w:tc>
        <w:tc>
          <w:tcPr/>
          <w:p>
            <w:pPr>
              <w:pStyle w:val="Compact"/>
            </w:pPr>
            <w:r>
              <w:t xml:space="preserve">Profil A — Compact, usage modéré</w:t>
            </w:r>
          </w:p>
        </w:tc>
        <w:tc>
          <w:tcPr/>
          <w:p>
            <w:pPr>
              <w:pStyle w:val="Compact"/>
            </w:pPr>
            <w:r>
              <w:t xml:space="preserve">Profil B — Compact, intensif (référence)</w:t>
            </w:r>
          </w:p>
        </w:tc>
        <w:tc>
          <w:tcPr/>
          <w:p>
            <w:pPr>
              <w:pStyle w:val="Compact"/>
            </w:pPr>
            <w:r>
              <w:t xml:space="preserve">Profil C — Corolla, intensif</w:t>
            </w:r>
          </w:p>
        </w:tc>
      </w:tr>
      <w:tr>
        <w:tc>
          <w:tcPr/>
          <w:p>
            <w:pPr>
              <w:pStyle w:val="Compact"/>
            </w:pPr>
            <w:r>
              <w:t xml:space="preserve">Km/an</w:t>
            </w:r>
          </w:p>
        </w:tc>
        <w:tc>
          <w:tcPr/>
          <w:p>
            <w:pPr>
              <w:pStyle w:val="Compact"/>
            </w:pPr>
            <w:r>
              <w:t xml:space="preserve">~28 000</w:t>
            </w:r>
          </w:p>
        </w:tc>
        <w:tc>
          <w:tcPr/>
          <w:p>
            <w:pPr>
              <w:pStyle w:val="Compact"/>
            </w:pPr>
            <w:r>
              <w:t xml:space="preserve">~44 000</w:t>
            </w:r>
          </w:p>
        </w:tc>
        <w:tc>
          <w:tcPr/>
          <w:p>
            <w:pPr>
              <w:pStyle w:val="Compact"/>
            </w:pPr>
            <w:r>
              <w:t xml:space="preserve">~44 000</w:t>
            </w:r>
          </w:p>
        </w:tc>
      </w:tr>
      <w:tr>
        <w:tc>
          <w:tcPr/>
          <w:p>
            <w:pPr>
              <w:pStyle w:val="Compact"/>
            </w:pPr>
            <w:r>
              <w:t xml:space="preserve">Conso ville</w:t>
            </w:r>
          </w:p>
        </w:tc>
        <w:tc>
          <w:tcPr/>
          <w:p>
            <w:pPr>
              <w:pStyle w:val="Compact"/>
            </w:pPr>
            <w:r>
              <w:t xml:space="preserve">6,5 L/100</w:t>
            </w:r>
          </w:p>
        </w:tc>
        <w:tc>
          <w:tcPr/>
          <w:p>
            <w:pPr>
              <w:pStyle w:val="Compact"/>
            </w:pPr>
            <w:r>
              <w:t xml:space="preserve">7 L/100</w:t>
            </w:r>
          </w:p>
        </w:tc>
        <w:tc>
          <w:tcPr/>
          <w:p>
            <w:pPr>
              <w:pStyle w:val="Compact"/>
            </w:pPr>
            <w:r>
              <w:t xml:space="preserve">9 L/100</w:t>
            </w:r>
          </w:p>
        </w:tc>
      </w:tr>
      <w:tr>
        <w:tc>
          <w:tcPr/>
          <w:p>
            <w:pPr>
              <w:pStyle w:val="Compact"/>
            </w:pPr>
            <w:r>
              <w:t xml:space="preserve">Carburant/an</w:t>
            </w:r>
          </w:p>
        </w:tc>
        <w:tc>
          <w:tcPr/>
          <w:p>
            <w:pPr>
              <w:pStyle w:val="Compact"/>
            </w:pPr>
            <w:r>
              <w:t xml:space="preserve">~1 590 000 F</w:t>
            </w:r>
          </w:p>
        </w:tc>
        <w:tc>
          <w:tcPr/>
          <w:p>
            <w:pPr>
              <w:pStyle w:val="Compact"/>
            </w:pPr>
            <w:r>
              <w:t xml:space="preserve">~2 680 000 F</w:t>
            </w:r>
          </w:p>
        </w:tc>
        <w:tc>
          <w:tcPr/>
          <w:p>
            <w:pPr>
              <w:pStyle w:val="Compact"/>
            </w:pPr>
            <w:r>
              <w:t xml:space="preserve">~3 440 000 F</w:t>
            </w:r>
          </w:p>
        </w:tc>
      </w:tr>
      <w:tr>
        <w:tc>
          <w:tcPr/>
          <w:p>
            <w:pPr>
              <w:pStyle w:val="Compact"/>
            </w:pPr>
            <w:r>
              <w:rPr>
                <w:b/>
                <w:bCs/>
              </w:rPr>
              <w:t xml:space="preserve">Pièces &amp; consommables/an</w:t>
            </w:r>
          </w:p>
        </w:tc>
        <w:tc>
          <w:tcPr/>
          <w:p>
            <w:pPr>
              <w:pStyle w:val="Compact"/>
            </w:pPr>
            <w:r>
              <w:rPr>
                <w:b/>
                <w:bCs/>
              </w:rPr>
              <w:t xml:space="preserve">~820 000 F</w:t>
            </w:r>
          </w:p>
        </w:tc>
        <w:tc>
          <w:tcPr/>
          <w:p>
            <w:pPr>
              <w:pStyle w:val="Compact"/>
            </w:pPr>
            <w:r>
              <w:rPr>
                <w:b/>
                <w:bCs/>
              </w:rPr>
              <w:t xml:space="preserve">~1 280 000 F</w:t>
            </w:r>
          </w:p>
        </w:tc>
        <w:tc>
          <w:tcPr/>
          <w:p>
            <w:pPr>
              <w:pStyle w:val="Compact"/>
            </w:pPr>
            <w:r>
              <w:rPr>
                <w:b/>
                <w:bCs/>
              </w:rPr>
              <w:t xml:space="preserve">~1 500 000 F</w:t>
            </w:r>
          </w:p>
        </w:tc>
      </w:tr>
      <w:tr>
        <w:tc>
          <w:tcPr/>
          <w:p>
            <w:pPr>
              <w:pStyle w:val="Compact"/>
            </w:pPr>
            <w:r>
              <w:t xml:space="preserve">Pièces/mois</w:t>
            </w:r>
          </w:p>
        </w:tc>
        <w:tc>
          <w:tcPr/>
          <w:p>
            <w:pPr>
              <w:pStyle w:val="Compact"/>
            </w:pPr>
            <w:r>
              <w:t xml:space="preserve">~68 000 F</w:t>
            </w:r>
          </w:p>
        </w:tc>
        <w:tc>
          <w:tcPr/>
          <w:p>
            <w:pPr>
              <w:pStyle w:val="Compact"/>
            </w:pPr>
            <w:r>
              <w:t xml:space="preserve">~107 000 F</w:t>
            </w:r>
          </w:p>
        </w:tc>
        <w:tc>
          <w:tcPr/>
          <w:p>
            <w:pPr>
              <w:pStyle w:val="Compact"/>
            </w:pPr>
            <w:r>
              <w:t xml:space="preserve">~125 000 F</w:t>
            </w:r>
          </w:p>
        </w:tc>
      </w:tr>
      <w:tr>
        <w:tc>
          <w:tcPr/>
          <w:p>
            <w:pPr>
              <w:pStyle w:val="Compact"/>
            </w:pPr>
            <w:r>
              <w:t xml:space="preserve">Part pièces / coût total (hors commission)</w:t>
            </w:r>
          </w:p>
        </w:tc>
        <w:tc>
          <w:tcPr/>
          <w:p>
            <w:pPr>
              <w:pStyle w:val="Compact"/>
            </w:pPr>
            <w:r>
              <w:t xml:space="preserve">~22 %</w:t>
            </w:r>
          </w:p>
        </w:tc>
        <w:tc>
          <w:tcPr/>
          <w:p>
            <w:pPr>
              <w:pStyle w:val="Compact"/>
            </w:pPr>
            <w:r>
              <w:t xml:space="preserve">~24 %</w:t>
            </w:r>
          </w:p>
        </w:tc>
        <w:tc>
          <w:tcPr/>
          <w:p>
            <w:pPr>
              <w:pStyle w:val="Compact"/>
            </w:pPr>
            <w:r>
              <w:t xml:space="preserve">~24 %</w:t>
            </w:r>
          </w:p>
        </w:tc>
      </w:tr>
    </w:tbl>
    <w:p>
      <w:pPr>
        <w:pStyle w:val="BodyText"/>
      </w:pPr>
      <w:r>
        <w:rPr>
          <w:b/>
          <w:bCs/>
        </w:rPr>
        <w:t xml:space="preserve">Enseignement</w:t>
      </w:r>
      <w:r>
        <w:t xml:space="preserve"> </w:t>
      </w:r>
      <w:r>
        <w:t xml:space="preserve">: quel que soit le profil,</w:t>
      </w:r>
      <w:r>
        <w:t xml:space="preserve"> </w:t>
      </w:r>
      <w:r>
        <w:rPr>
          <w:b/>
          <w:bCs/>
        </w:rPr>
        <w:t xml:space="preserve">les pièces et consommables représentent environ un quart du coût d'exploitation hors commission plateforme</w:t>
      </w:r>
      <w:r>
        <w:t xml:space="preserve"> </w:t>
      </w:r>
      <w:r>
        <w:t xml:space="preserve">— et c'est la part la plus compressible par une meilleure gestion (comparaison de prix, qualité garantie, maintenance préventive, zéro rupture).</w:t>
      </w:r>
    </w:p>
    <w:p>
      <w:r>
        <w:pict>
          <v:rect style="width:0;height:1.5pt" o:hralign="center" o:hrstd="t" o:hr="t"/>
        </w:pict>
      </w:r>
    </w:p>
    <w:bookmarkEnd w:id="30"/>
    <w:bookmarkStart w:id="31" w:name="Xd0cde1a3463b787531598a77a205c230fda828f"/>
    <w:p>
      <w:pPr>
        <w:pStyle w:val="Heading2"/>
      </w:pPr>
      <w:r>
        <w:t xml:space="preserve">6. Implications — pourquoi la maîtrise des pièces est le vrai levier</w:t>
      </w:r>
    </w:p>
    <w:p>
      <w:pPr>
        <w:pStyle w:val="FirstParagraph"/>
      </w:pPr>
      <w:r>
        <w:t xml:space="preserve">Sur les grands postes, le chauffeur ou le gestionnaire de flotte a peu de prise :</w:t>
      </w:r>
    </w:p>
    <w:p>
      <w:pPr>
        <w:pStyle w:val="Compact"/>
        <w:numPr>
          <w:ilvl w:val="0"/>
          <w:numId w:val="1005"/>
        </w:numPr>
      </w:pPr>
      <w:r>
        <w:rPr>
          <w:b/>
          <w:bCs/>
        </w:rPr>
        <w:t xml:space="preserve">Carburant</w:t>
      </w:r>
      <w:r>
        <w:t xml:space="preserve"> </w:t>
      </w:r>
      <w:r>
        <w:t xml:space="preserve">: prix administré (875 F/L super, 700 F/L gasoil en mai 2026), seule la consommation (donc le choix du véhicule) est pilotable.</w:t>
      </w:r>
    </w:p>
    <w:p>
      <w:pPr>
        <w:pStyle w:val="Compact"/>
        <w:numPr>
          <w:ilvl w:val="0"/>
          <w:numId w:val="1005"/>
        </w:numPr>
      </w:pPr>
      <w:r>
        <w:rPr>
          <w:b/>
          <w:bCs/>
        </w:rPr>
        <w:t xml:space="preserve">Commission &amp; taxe</w:t>
      </w:r>
      <w:r>
        <w:t xml:space="preserve"> </w:t>
      </w:r>
      <w:r>
        <w:t xml:space="preserve">: fixées par la plateforme et l'État.</w:t>
      </w:r>
    </w:p>
    <w:p>
      <w:pPr>
        <w:pStyle w:val="Compact"/>
        <w:numPr>
          <w:ilvl w:val="0"/>
          <w:numId w:val="1005"/>
        </w:numPr>
      </w:pPr>
      <w:r>
        <w:rPr>
          <w:b/>
          <w:bCs/>
        </w:rPr>
        <w:t xml:space="preserve">Assurance &amp; réglementaire</w:t>
      </w:r>
      <w:r>
        <w:t xml:space="preserve"> </w:t>
      </w:r>
      <w:r>
        <w:t xml:space="preserve">: largement contraints.</w:t>
      </w:r>
    </w:p>
    <w:p>
      <w:pPr>
        <w:pStyle w:val="FirstParagraph"/>
      </w:pPr>
      <w:r>
        <w:t xml:space="preserve">En revanche, sur les</w:t>
      </w:r>
      <w:r>
        <w:t xml:space="preserve"> </w:t>
      </w:r>
      <w:r>
        <w:rPr>
          <w:b/>
          <w:bCs/>
        </w:rPr>
        <w:t xml:space="preserve">pièces et consommables</w:t>
      </w:r>
      <w:r>
        <w:t xml:space="preserve"> </w:t>
      </w:r>
      <w:r>
        <w:t xml:space="preserve">— un quart du coût pilotable — les gisements d'économie sont réels et cumulatifs :</w:t>
      </w:r>
    </w:p>
    <w:p>
      <w:pPr>
        <w:pStyle w:val="Compact"/>
        <w:numPr>
          <w:ilvl w:val="0"/>
          <w:numId w:val="1006"/>
        </w:numPr>
      </w:pPr>
      <w:r>
        <w:rPr>
          <w:b/>
          <w:bCs/>
        </w:rPr>
        <w:t xml:space="preserve">Comparer les prix</w:t>
      </w:r>
      <w:r>
        <w:t xml:space="preserve"> </w:t>
      </w:r>
      <w:r>
        <w:t xml:space="preserve">sur chaque référence : 15–30 % d'économie immédiate sur l'achat.</w:t>
      </w:r>
    </w:p>
    <w:p>
      <w:pPr>
        <w:pStyle w:val="Compact"/>
        <w:numPr>
          <w:ilvl w:val="0"/>
          <w:numId w:val="1006"/>
        </w:numPr>
      </w:pPr>
      <w:r>
        <w:rPr>
          <w:b/>
          <w:bCs/>
        </w:rPr>
        <w:t xml:space="preserve">Garantir la qualité</w:t>
      </w:r>
      <w:r>
        <w:t xml:space="preserve"> </w:t>
      </w:r>
      <w:r>
        <w:t xml:space="preserve">des pièces : moins de remplacements prématurés, durée de vie restaurée.</w:t>
      </w:r>
    </w:p>
    <w:p>
      <w:pPr>
        <w:pStyle w:val="Compact"/>
        <w:numPr>
          <w:ilvl w:val="0"/>
          <w:numId w:val="1006"/>
        </w:numPr>
      </w:pPr>
      <w:r>
        <w:rPr>
          <w:b/>
          <w:bCs/>
        </w:rPr>
        <w:t xml:space="preserve">Passer en préventif</w:t>
      </w:r>
      <w:r>
        <w:t xml:space="preserve"> </w:t>
      </w:r>
      <w:r>
        <w:t xml:space="preserve">(maintenance km-based) plutôt qu'en curatif : on remplace avant la casse, on évite les dégâts en cascade (une courroie négligée peut détruire un moteur).</w:t>
      </w:r>
    </w:p>
    <w:p>
      <w:pPr>
        <w:pStyle w:val="Compact"/>
        <w:numPr>
          <w:ilvl w:val="0"/>
          <w:numId w:val="1006"/>
        </w:numPr>
      </w:pPr>
      <w:r>
        <w:rPr>
          <w:b/>
          <w:bCs/>
        </w:rPr>
        <w:t xml:space="preserve">Éliminer les ruptures</w:t>
      </w:r>
      <w:r>
        <w:t xml:space="preserve"> </w:t>
      </w:r>
      <w:r>
        <w:t xml:space="preserve">via un stock tampon sur les références critiques : suppression du coût d'immobilisation, souvent le plus lourd.</w:t>
      </w:r>
    </w:p>
    <w:p>
      <w:pPr>
        <w:pStyle w:val="Compact"/>
        <w:numPr>
          <w:ilvl w:val="0"/>
          <w:numId w:val="1006"/>
        </w:numPr>
      </w:pPr>
      <w:r>
        <w:rPr>
          <w:b/>
          <w:bCs/>
        </w:rPr>
        <w:t xml:space="preserve">Identifier les véhicules « gouffres »</w:t>
      </w:r>
      <w:r>
        <w:t xml:space="preserve"> </w:t>
      </w:r>
      <w:r>
        <w:t xml:space="preserve">: sur une flotte, 5 % des véhicules concentrent typiquement 30 % du budget pièces ; les isoler permet d'agir (révision ciblée, réforme, réaffectation).</w:t>
      </w:r>
    </w:p>
    <w:p>
      <w:pPr>
        <w:pStyle w:val="FirstParagraph"/>
      </w:pPr>
      <w:r>
        <w:t xml:space="preserve">Une gestion rigoureuse des pièces permet de viser</w:t>
      </w:r>
      <w:r>
        <w:t xml:space="preserve"> </w:t>
      </w:r>
      <w:r>
        <w:rPr>
          <w:b/>
          <w:bCs/>
        </w:rPr>
        <w:t xml:space="preserve">-20 à -30 % sur ce poste</w:t>
      </w:r>
      <w:r>
        <w:t xml:space="preserve">, soit, pour le profil de référence,</w:t>
      </w:r>
      <w:r>
        <w:t xml:space="preserve"> </w:t>
      </w:r>
      <w:r>
        <w:rPr>
          <w:b/>
          <w:bCs/>
        </w:rPr>
        <w:t xml:space="preserve">250 000 à 380 000 FCFA/an et par véhicule</w:t>
      </w:r>
      <w:r>
        <w:t xml:space="preserve">. Sur une flotte de 20 véhicules, c'est de l'ordre de</w:t>
      </w:r>
      <w:r>
        <w:t xml:space="preserve"> </w:t>
      </w:r>
      <w:r>
        <w:rPr>
          <w:b/>
          <w:bCs/>
        </w:rPr>
        <w:t xml:space="preserve">5 à 7,5 M FCFA/an</w:t>
      </w:r>
      <w:r>
        <w:t xml:space="preserve"> </w:t>
      </w:r>
      <w:r>
        <w:t xml:space="preserve">— directement réinjectés dans la marge.</w:t>
      </w:r>
    </w:p>
    <w:p>
      <w:pPr>
        <w:pStyle w:val="BodyText"/>
      </w:pPr>
      <w:r>
        <w:t xml:space="preserve">C'est exactement le périmètre que couvre la plateforme Pièces : catalogue compatible véhicule, comparateur multi-fournisseurs, scoring qualité, garantie intermédiée, alertes préventives km-based, stock tampon anti-rupture et fiche véhicule pour repérer les outliers.</w:t>
      </w:r>
    </w:p>
    <w:p>
      <w:r>
        <w:pict>
          <v:rect style="width:0;height:1.5pt" o:hralign="center" o:hrstd="t" o:hr="t"/>
        </w:pict>
      </w:r>
    </w:p>
    <w:bookmarkEnd w:id="31"/>
    <w:bookmarkStart w:id="32" w:name="Xbbfe247010b9e39627160422664f7d3cbb04afa"/>
    <w:p>
      <w:pPr>
        <w:pStyle w:val="Heading2"/>
      </w:pPr>
      <w:r>
        <w:t xml:space="preserve">7. Limites et pistes d'approfondissement</w:t>
      </w:r>
    </w:p>
    <w:p>
      <w:pPr>
        <w:pStyle w:val="FirstParagraph"/>
      </w:pPr>
      <w:r>
        <w:t xml:space="preserve">Cette étude repose sur des prix de marché publics et des hypothèses d'usage. Pour la fiabiliser :</w:t>
      </w:r>
    </w:p>
    <w:p>
      <w:pPr>
        <w:pStyle w:val="Compact"/>
        <w:numPr>
          <w:ilvl w:val="0"/>
          <w:numId w:val="1007"/>
        </w:numPr>
      </w:pPr>
      <w:r>
        <w:rPr>
          <w:b/>
          <w:bCs/>
        </w:rPr>
        <w:t xml:space="preserve">Collecter des données réelles de flotte</w:t>
      </w:r>
      <w:r>
        <w:t xml:space="preserve"> </w:t>
      </w:r>
      <w:r>
        <w:t xml:space="preserve">(historiques pièces ligne par ligne sur 12 mois) afin de remplacer les fourchettes par des médianes observées — ce que la plateforme Pièces produit nativement.</w:t>
      </w:r>
    </w:p>
    <w:p>
      <w:pPr>
        <w:pStyle w:val="Compact"/>
        <w:numPr>
          <w:ilvl w:val="0"/>
          <w:numId w:val="1007"/>
        </w:numPr>
      </w:pPr>
      <w:r>
        <w:rPr>
          <w:b/>
          <w:bCs/>
        </w:rPr>
        <w:t xml:space="preserve">Segmenter par modèle</w:t>
      </w:r>
      <w:r>
        <w:t xml:space="preserve"> </w:t>
      </w:r>
      <w:r>
        <w:t xml:space="preserve">: les courbes de coût d'une Corolla, d'une Picanto et d'un SUV diffèrent fortement.</w:t>
      </w:r>
    </w:p>
    <w:p>
      <w:pPr>
        <w:pStyle w:val="Compact"/>
        <w:numPr>
          <w:ilvl w:val="0"/>
          <w:numId w:val="1007"/>
        </w:numPr>
      </w:pPr>
      <w:r>
        <w:rPr>
          <w:b/>
          <w:bCs/>
        </w:rPr>
        <w:t xml:space="preserve">Mesurer le coût d'immobilisation réel</w:t>
      </w:r>
      <w:r>
        <w:t xml:space="preserve"> </w:t>
      </w:r>
      <w:r>
        <w:t xml:space="preserve">(jours/an perdus sur rupture), variable la plus impactante et la moins documentée.</w:t>
      </w:r>
    </w:p>
    <w:p>
      <w:pPr>
        <w:pStyle w:val="Compact"/>
        <w:numPr>
          <w:ilvl w:val="0"/>
          <w:numId w:val="1007"/>
        </w:numPr>
      </w:pPr>
      <w:r>
        <w:rPr>
          <w:b/>
          <w:bCs/>
        </w:rPr>
        <w:t xml:space="preserve">Distinguer propriétaire-chauffeur vs flotte en location</w:t>
      </w:r>
      <w:r>
        <w:t xml:space="preserve"> </w:t>
      </w:r>
      <w:r>
        <w:t xml:space="preserve">: les structures de coûts et d'incitation diffèrent.</w:t>
      </w:r>
    </w:p>
    <w:p>
      <w:r>
        <w:pict>
          <v:rect style="width:0;height:1.5pt" o:hralign="center" o:hrstd="t" o:hr="t"/>
        </w:pict>
      </w:r>
    </w:p>
    <w:bookmarkEnd w:id="32"/>
    <w:bookmarkStart w:id="33" w:name="sources-principales"/>
    <w:p>
      <w:pPr>
        <w:pStyle w:val="Heading2"/>
      </w:pPr>
      <w:r>
        <w:t xml:space="preserve">Sources principales</w:t>
      </w:r>
    </w:p>
    <w:p>
      <w:pPr>
        <w:pStyle w:val="Compact"/>
        <w:numPr>
          <w:ilvl w:val="0"/>
          <w:numId w:val="1008"/>
        </w:numPr>
      </w:pPr>
      <w:r>
        <w:t xml:space="preserve">Prix carburant mai 2026 : Direction Générale des Hydrocarbures (super 875 F/L, gasoil 700 F/L) — relayé par Financial Afrik, KOACI, Pulse CI.</w:t>
      </w:r>
    </w:p>
    <w:p>
      <w:pPr>
        <w:pStyle w:val="Compact"/>
        <w:numPr>
          <w:ilvl w:val="0"/>
          <w:numId w:val="1008"/>
        </w:numPr>
      </w:pPr>
      <w:r>
        <w:t xml:space="preserve">Marché VTC, retrait Uber, volumes : Agence Ecofin, Jeune Afrique, Africa Data Intelligence (« Étude du marché ivoirien du VTC 2024 »), Déclic Car / Koto CI et 7info (estimations 2026 : ~30 000 véhicules, Yango ~70 %), ARTI.</w:t>
      </w:r>
    </w:p>
    <w:p>
      <w:pPr>
        <w:pStyle w:val="Compact"/>
        <w:numPr>
          <w:ilvl w:val="0"/>
          <w:numId w:val="1008"/>
        </w:numPr>
      </w:pPr>
      <w:r>
        <w:t xml:space="preserve">Commissions plateforme : Digital Mag CI (interviews chauffeurs et Yango, 2025), blog iambeezy 2026.</w:t>
      </w:r>
    </w:p>
    <w:p>
      <w:pPr>
        <w:pStyle w:val="Compact"/>
        <w:numPr>
          <w:ilvl w:val="0"/>
          <w:numId w:val="1008"/>
        </w:numPr>
      </w:pPr>
      <w:r>
        <w:t xml:space="preserve">Coûts d'entretien : AutoMag.ci (« Entretien auto : conseils et prix »), Point S Côte d'Ivoire, Midas CI, distributeurs locaux.</w:t>
      </w:r>
    </w:p>
    <w:p>
      <w:pPr>
        <w:pStyle w:val="Compact"/>
        <w:numPr>
          <w:ilvl w:val="0"/>
          <w:numId w:val="1008"/>
        </w:numPr>
      </w:pPr>
      <w:r>
        <w:t xml:space="preserve">Prix véhicules : Jiji.ci, Auto24.ci, AutoMag.ci, Suzuki/SOCIDA.</w:t>
      </w:r>
    </w:p>
    <w:p>
      <w:pPr>
        <w:pStyle w:val="Compact"/>
        <w:numPr>
          <w:ilvl w:val="0"/>
          <w:numId w:val="1008"/>
        </w:numPr>
      </w:pPr>
      <w:r>
        <w:t xml:space="preserve">Assurance : guides tarifaires Abidjan 2026 (RC dès 45 000 F, standard 200 000–500 000 F/an).</w:t>
      </w:r>
    </w:p>
    <w:p>
      <w:pPr>
        <w:pStyle w:val="FirstParagraph"/>
      </w:pPr>
      <w:r>
        <w:rPr>
          <w:i/>
          <w:iCs/>
        </w:rPr>
        <w:t xml:space="preserve">Document d'analyse — édition mai 2026. Chiffres indicatifs à valider sur données de flotte réelles.</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2026-07-17T21:35:41Z</dcterms:created>
  <dcterms:modified xsi:type="dcterms:W3CDTF">2026-07-17T21:35:41Z</dcterms:modified>
</cp:coreProperties>
</file>

<file path=docProps/custom.xml><?xml version="1.0" encoding="utf-8"?>
<Properties xmlns="http://schemas.openxmlformats.org/officeDocument/2006/custom-properties" xmlns:vt="http://schemas.openxmlformats.org/officeDocument/2006/docPropsVTypes"/>
</file>