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pièces"/>
    <w:p>
      <w:pPr>
        <w:pStyle w:val="Heading1"/>
      </w:pPr>
      <w:r>
        <w:t xml:space="preserve">Pièces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largement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BodyText"/>
      </w:pPr>
      <w:r>
        <w:rPr>
          <w:b/>
          <w:bCs/>
        </w:rPr>
        <w:t xml:space="preserve">Chaque intermédiaire ajoute sa marge</w:t>
      </w:r>
      <w:r>
        <w:t xml:space="preserve"> </w:t>
      </w:r>
      <w:r>
        <w:t xml:space="preserve">— importateur, grossiste, détaillant, mécanicien : l'acheteur paie l'accumulation, sans jamais voir le vrai prix.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25 000 à 50 000 F/jour</w:t>
      </w:r>
      <w:r>
        <w:t xml:space="preserve"> </w:t>
      </w:r>
      <w:r>
        <w:t xml:space="preserve">par véhicule immobilisé ; budget pièces opaque.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son comptoir,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20"/>
    <w:bookmarkStart w:id="21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 prioritaire,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21"/>
    <w:bookmarkStart w:id="22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paiement à la livraison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22"/>
    <w:bookmarkStart w:id="23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~10 %,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23"/>
    <w:bookmarkStart w:id="24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paiement à la livraison fiable et traçable.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24"/>
    <w:bookmarkStart w:id="25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25"/>
    <w:bookmarkStart w:id="26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panier moyen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7–15 %, au paiement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26"/>
    <w:bookmarkStart w:id="27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27"/>
    <w:bookmarkStart w:id="28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magasins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Paiement à la livraison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28"/>
    <w:bookmarkStart w:id="29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29"/>
    <w:bookmarkStart w:id="30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Seed 4–6 M EUR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30"/>
    <w:bookmarkStart w:id="32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31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2026-07-17T21:36:05Z</dcterms:created>
  <dcterms:modified xsi:type="dcterms:W3CDTF">2026-07-17T21:36:05Z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