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714abeeb5b93ba7f1e27ed89487f8b20e44a24"/>
    <w:p>
      <w:pPr>
        <w:pStyle w:val="Heading1"/>
      </w:pPr>
      <w:r>
        <w:t xml:space="preserve">Pièces : optimiser les dépenses automobiles en Côte d'Ivoire</w:t>
      </w:r>
    </w:p>
    <w:bookmarkStart w:id="20" w:name="X1f4c035d5ce0a3ab517d490c1a072f2cfffa800"/>
    <w:p>
      <w:pPr>
        <w:pStyle w:val="Heading2"/>
      </w:pPr>
      <w:r>
        <w:t xml:space="preserve">1. Résumé exécutif</w:t>
      </w:r>
    </w:p>
    <w:p>
      <w:pPr>
        <w:pStyle w:val="FirstParagraph"/>
      </w:pPr>
      <w:r>
        <w:rPr>
          <w:b/>
          <w:bCs/>
        </w:rPr>
        <w:t xml:space="preserve">Pièces optimise les dépenses automobiles de tout le monde en Côte d'Ivoire</w:t>
      </w:r>
      <w:r>
        <w:t xml:space="preserve">, du propriétaire d'un seul véhicule au gestionnaire d'une flotte de mille. La plateforme réunit trois produits sur une seule infrastructure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 tripartite</w:t>
      </w:r>
      <w:r>
        <w:t xml:space="preserve"> </w:t>
      </w:r>
      <w:r>
        <w:t xml:space="preserve">: le mécanicien identifie la pièce (recherche, photo IA, VIN), le vendeur livre, le propriétaire</w:t>
      </w:r>
      <w:r>
        <w:t xml:space="preserve"> </w:t>
      </w:r>
      <w:r>
        <w:rPr>
          <w:b/>
          <w:bCs/>
        </w:rPr>
        <w:t xml:space="preserve">paie à la livraison</w:t>
      </w:r>
      <w:r>
        <w:t xml:space="preserve">. Prix affiché, condition de la pièce affichée (chip Neuf / Occasion / Ré-usiné / Aftermarket / OEM), garantie, facture.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Suite Flotte (B2B)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Flotte Pro</w:t>
      </w:r>
      <w:r>
        <w:t xml:space="preserve"> </w:t>
      </w:r>
      <w:r>
        <w:t xml:space="preserve">(5 000 F/véh/mois) et</w:t>
      </w:r>
      <w:r>
        <w:t xml:space="preserve"> </w:t>
      </w:r>
      <w:r>
        <w:rPr>
          <w:rStyle w:val="VerbatimChar"/>
        </w:rPr>
        <w:t xml:space="preserve">Flotte Pro +</w:t>
      </w:r>
      <w:r>
        <w:t xml:space="preserve"> </w:t>
      </w:r>
      <w:r>
        <w:t xml:space="preserve">(10 000 F/véh/mois) assurent le pilotage du coût total de possession, la détection des véhicules « gouffres », les alertes d'entretien, la livraison express prioritaire, la facturation consolidée et la conformité fiscale.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Programme Liaison</w:t>
      </w:r>
      <w:r>
        <w:t xml:space="preserve"> </w:t>
      </w:r>
      <w:r>
        <w:t xml:space="preserve">: les agents terrain digitalisent les vendeurs</w:t>
      </w:r>
      <w:r>
        <w:t xml:space="preserve"> </w:t>
      </w:r>
      <w:r>
        <w:rPr>
          <w:b/>
          <w:bCs/>
        </w:rPr>
        <w:t xml:space="preserve">formels et informels</w:t>
      </w:r>
      <w:r>
        <w:t xml:space="preserve">, de l'importateur en gros au vendeur de détail. Notre douve, c'est la</w:t>
      </w:r>
      <w:r>
        <w:t xml:space="preserve"> </w:t>
      </w:r>
      <w:r>
        <w:rPr>
          <w:b/>
          <w:bCs/>
        </w:rPr>
        <w:t xml:space="preserve">cartographie des acteurs de la chaîne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digitalisation de leurs produits, même quand ils ne sont pas sur internet</w:t>
      </w:r>
      <w:r>
        <w:t xml:space="preserve">.</w:t>
      </w:r>
    </w:p>
    <w:p>
      <w:pPr>
        <w:pStyle w:val="FirstParagraph"/>
      </w:pPr>
      <w:r>
        <w:t xml:space="preserve">La plateforme est</w:t>
      </w:r>
      <w:r>
        <w:t xml:space="preserve"> </w:t>
      </w:r>
      <w:r>
        <w:rPr>
          <w:b/>
          <w:bCs/>
        </w:rPr>
        <w:t xml:space="preserve">construite et déployée</w:t>
      </w:r>
      <w:r>
        <w:t xml:space="preserve"> </w:t>
      </w:r>
      <w:r>
        <w:t xml:space="preserve">: marketplace, paiement à la livraison, dashboard flotte, calculateur ROI, bot WhatsApp, et un catalogue de</w:t>
      </w:r>
      <w:r>
        <w:t xml:space="preserve"> </w:t>
      </w:r>
      <w:r>
        <w:rPr>
          <w:b/>
          <w:bCs/>
        </w:rPr>
        <w:t xml:space="preserve">7 137 annonces</w:t>
      </w:r>
      <w:r>
        <w:t xml:space="preserve"> </w:t>
      </w:r>
      <w:r>
        <w:t xml:space="preserve">déjà ingérées. Le portail entreprise est en ligne sur</w:t>
      </w:r>
      <w:r>
        <w:t xml:space="preserve"> </w:t>
      </w:r>
      <w:r>
        <w:rPr>
          <w:rStyle w:val="VerbatimChar"/>
        </w:rPr>
        <w:t xml:space="preserve">flotte.pieces.ci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demande</w:t>
      </w:r>
      <w:r>
        <w:t xml:space="preserve"> </w:t>
      </w:r>
      <w:r>
        <w:t xml:space="preserve">: nous levons un tour</w:t>
      </w:r>
      <w:r>
        <w:t xml:space="preserve"> </w:t>
      </w:r>
      <w:r>
        <w:rPr>
          <w:b/>
          <w:bCs/>
        </w:rPr>
        <w:t xml:space="preserve">Pre-seed de ~1 M EUR (≈ 655 M FCFA)</w:t>
      </w:r>
      <w:r>
        <w:t xml:space="preserve"> </w:t>
      </w:r>
      <w:r>
        <w:t xml:space="preserve">pour financer 18 à 20 mois d'exécution : verrouiller le catalogue de 90 % des pièces du marché, prendre la verticale VTC via un partenariat Yango et atteindre les jalons d'un Seed.</w:t>
      </w:r>
    </w:p>
    <w:bookmarkEnd w:id="20"/>
    <w:bookmarkStart w:id="21" w:name="Xfdb0fa10b15b4c31e7d8ea259c78ddd75f56dc0"/>
    <w:p>
      <w:pPr>
        <w:pStyle w:val="Heading2"/>
      </w:pPr>
      <w:r>
        <w:t xml:space="preserve">2. Le problème</w:t>
      </w:r>
    </w:p>
    <w:p>
      <w:pPr>
        <w:pStyle w:val="FirstParagraph"/>
      </w:pPr>
      <w:r>
        <w:t xml:space="preserve">À Abidjan, acheter une pièce auto fiable, au bon prix, livrée dans la journée, est un parcours du combattant. Le marché est</w:t>
      </w:r>
      <w:r>
        <w:t xml:space="preserve"> </w:t>
      </w:r>
      <w:r>
        <w:rPr>
          <w:b/>
          <w:bCs/>
        </w:rPr>
        <w:t xml:space="preserve">principalement informel</w:t>
      </w:r>
      <w:r>
        <w:t xml:space="preserve"> </w:t>
      </w:r>
      <w:r>
        <w:t xml:space="preserve">: quelques acteurs sont en ligne, mais l'immense majorité des vendeurs (magasins d'Adjamé, Yopougon, Marcory) vendent sans catalogue, sans prix affiché et avec des garanties diverses.</w:t>
      </w:r>
    </w:p>
    <w:p>
      <w:pPr>
        <w:pStyle w:val="BodyText"/>
      </w:pPr>
      <w:r>
        <w:t xml:space="preserve">Surtout,</w:t>
      </w:r>
      <w:r>
        <w:t xml:space="preserve"> </w:t>
      </w:r>
      <w:r>
        <w:rPr>
          <w:b/>
          <w:bCs/>
        </w:rPr>
        <w:t xml:space="preserve">entre l'importateur et le capot du véhicule, chaque intermédiaire ajoute sa marge</w:t>
      </w:r>
      <w:r>
        <w:t xml:space="preserve"> </w:t>
      </w:r>
      <w:r>
        <w:t xml:space="preserve">: grossiste, semi-grossiste, détaillant, et souvent le mécanicien à qui l'on confie l'achat. L'acheteur final paie l'accumulation de ces marges opaques, sans jamais voir le vrai prix.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propriétaire</w:t>
      </w:r>
      <w:r>
        <w:t xml:space="preserve"> </w:t>
      </w:r>
      <w:r>
        <w:t xml:space="preserve">paie 30 à 60 % trop cher, faute de prix de référence et sans aucune garantie. Le surcoût grandit avec chaque intermédiaire sur la pièce.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gestionnaire de flotte</w:t>
      </w:r>
      <w:r>
        <w:t xml:space="preserve"> </w:t>
      </w:r>
      <w:r>
        <w:t xml:space="preserve">perd</w:t>
      </w:r>
      <w:r>
        <w:t xml:space="preserve"> </w:t>
      </w:r>
      <w:r>
        <w:rPr>
          <w:b/>
          <w:bCs/>
        </w:rPr>
        <w:t xml:space="preserve">25 000 à 50 000 FCFA par jour et par véhicule immobilisé</w:t>
      </w:r>
      <w:r>
        <w:t xml:space="preserve">, et ne sait pas où part son budget pièces.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confiance manque</w:t>
      </w:r>
      <w:r>
        <w:t xml:space="preserve"> </w:t>
      </w:r>
      <w:r>
        <w:t xml:space="preserve">: pièces contrefaites fréquentes, ni garantie, ni facture, ni recours.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vendeur</w:t>
      </w:r>
      <w:r>
        <w:t xml:space="preserve">, de l'importateur en gros au détaillant, n'a aucun moyen de toucher une clientèle au-delà de son comptoir.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L'État</w:t>
      </w:r>
      <w:r>
        <w:t xml:space="preserve"> </w:t>
      </w:r>
      <w:r>
        <w:t xml:space="preserve">ne perçoit ni TVA ni traçabilité sur un pan entier de l'économie.</w:t>
      </w:r>
    </w:p>
    <w:bookmarkEnd w:id="21"/>
    <w:bookmarkStart w:id="22" w:name="X461843f0f9297dc0bf659561dbfb94318be452b"/>
    <w:p>
      <w:pPr>
        <w:pStyle w:val="Heading2"/>
      </w:pPr>
      <w:r>
        <w:t xml:space="preserve">3. La solution &amp; le produit</w:t>
      </w:r>
    </w:p>
    <w:p>
      <w:pPr>
        <w:pStyle w:val="FirstParagraph"/>
      </w:pPr>
      <w:r>
        <w:t xml:space="preserve">Pièces rend la chaîne</w:t>
      </w:r>
      <w:r>
        <w:t xml:space="preserve"> </w:t>
      </w:r>
      <w:r>
        <w:rPr>
          <w:b/>
          <w:bCs/>
        </w:rPr>
        <w:t xml:space="preserve">transparente et concurrentielle</w:t>
      </w:r>
      <w:r>
        <w:t xml:space="preserve"> </w:t>
      </w:r>
      <w:r>
        <w:t xml:space="preserve">: l'acheteur voit le prix réel, compare les fournisseurs et achète au plus près de la source, quel que soit le nombre d'intermédiaires. Les marges opaques s'effondrent et le surcoût disparaît.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Brique</w:t>
            </w:r>
          </w:p>
        </w:tc>
        <w:tc>
          <w:tcPr/>
          <w:p>
            <w:pPr>
              <w:pStyle w:val="Compact"/>
            </w:pPr>
            <w:r>
              <w:t xml:space="preserve">Ce qu'elle résout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 + Garantie</w:t>
            </w:r>
          </w:p>
        </w:tc>
        <w:tc>
          <w:tcPr/>
          <w:p>
            <w:pPr>
              <w:pStyle w:val="Compact"/>
            </w:pPr>
            <w:r>
              <w:t xml:space="preserve">Confiance, prix transparent, garantie, facture</w:t>
            </w:r>
          </w:p>
        </w:tc>
        <w:tc>
          <w:tcPr/>
          <w:p>
            <w:pPr>
              <w:pStyle w:val="Compact"/>
            </w:pP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Recherche pièce (texte / photo IA / VIN)</w:t>
            </w:r>
          </w:p>
        </w:tc>
        <w:tc>
          <w:tcPr/>
          <w:p>
            <w:pPr>
              <w:pStyle w:val="Compact"/>
            </w:pPr>
            <w:r>
              <w:t xml:space="preserve">Identification fiable, compatibilité véhicule CI</w:t>
            </w:r>
          </w:p>
        </w:tc>
        <w:tc>
          <w:tcPr/>
          <w:p>
            <w:pPr>
              <w:pStyle w:val="Compact"/>
            </w:pP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Suite Flotte (Pro / Pro +)</w:t>
            </w:r>
          </w:p>
        </w:tc>
        <w:tc>
          <w:tcPr/>
          <w:p>
            <w:pPr>
              <w:pStyle w:val="Compact"/>
            </w:pPr>
            <w:r>
              <w:t xml:space="preserve">Pilotage coût, alertes, livraison express, conformité</w:t>
            </w:r>
          </w:p>
        </w:tc>
        <w:tc>
          <w:tcPr/>
          <w:p>
            <w:pPr>
              <w:pStyle w:val="Compact"/>
            </w:pP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Calculateur ROI flotte</w:t>
            </w:r>
          </w:p>
        </w:tc>
        <w:tc>
          <w:tcPr/>
          <w:p>
            <w:pPr>
              <w:pStyle w:val="Compact"/>
            </w:pPr>
            <w:r>
              <w:t xml:space="preserve">Preuve chiffrée à la vente B2B</w:t>
            </w:r>
          </w:p>
        </w:tc>
        <w:tc>
          <w:tcPr/>
          <w:p>
            <w:pPr>
              <w:pStyle w:val="Compact"/>
            </w:pP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WhatsApp</w:t>
            </w:r>
          </w:p>
        </w:tc>
        <w:tc>
          <w:tcPr/>
          <w:p>
            <w:pPr>
              <w:pStyle w:val="Compact"/>
            </w:pPr>
            <w:r>
              <w:t xml:space="preserve">Canal d'entrée n°1</w:t>
            </w:r>
          </w:p>
        </w:tc>
        <w:tc>
          <w:tcPr/>
          <w:p>
            <w:pPr>
              <w:pStyle w:val="Compact"/>
            </w:pPr>
            <w:r>
              <w:t xml:space="preserve">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&amp; app Liaison</w:t>
            </w:r>
          </w:p>
        </w:tc>
        <w:tc>
          <w:tcPr/>
          <w:p>
            <w:pPr>
              <w:pStyle w:val="Compact"/>
            </w:pPr>
            <w:r>
              <w:t xml:space="preserve">Onboarding vendeurs à grande échelle</w:t>
            </w:r>
          </w:p>
        </w:tc>
        <w:tc>
          <w:tcPr/>
          <w:p>
            <w:pPr>
              <w:pStyle w:val="Compact"/>
            </w:pPr>
            <w:r>
              <w:t xml:space="preserve">V1, à industrialiser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Facturation normalisée FNE-CI / DGI</w:t>
            </w:r>
          </w:p>
        </w:tc>
        <w:tc>
          <w:tcPr/>
          <w:p>
            <w:pPr>
              <w:pStyle w:val="Compact"/>
            </w:pPr>
            <w:r>
              <w:t xml:space="preserve">Verrou réglementaire, récupération TVA flottes</w:t>
            </w:r>
          </w:p>
        </w:tc>
        <w:tc>
          <w:tcPr/>
          <w:p>
            <w:pPr>
              <w:pStyle w:val="Compact"/>
            </w:pPr>
            <w:r>
              <w:t xml:space="preserve">Roadmap P1</w:t>
            </w:r>
          </w:p>
        </w:tc>
      </w:tr>
    </w:tbl>
    <w:bookmarkEnd w:id="22"/>
    <w:bookmarkStart w:id="26" w:name="X6951ad93043e47a813837d5552068bb4799b175"/>
    <w:p>
      <w:pPr>
        <w:pStyle w:val="Heading2"/>
      </w:pPr>
      <w:r>
        <w:t xml:space="preserve">4. Le marché</w:t>
      </w:r>
    </w:p>
    <w:bookmarkStart w:id="23" w:name="X6823640f2b0d1c2ae562bbda8551d4e58cd20c7"/>
    <w:p>
      <w:pPr>
        <w:pStyle w:val="Heading3"/>
      </w:pPr>
      <w:r>
        <w:t xml:space="preserve">4.1 Dimensionnement (triangulation publique + bottom-up)</w:t>
      </w:r>
    </w:p>
    <w:p>
      <w:pPr>
        <w:pStyle w:val="FirstParagraph"/>
      </w:pPr>
      <w:r>
        <w:t xml:space="preserve">Le parc automobile national est estimé à</w:t>
      </w:r>
      <w:r>
        <w:t xml:space="preserve"> </w:t>
      </w:r>
      <w:r>
        <w:rPr>
          <w:b/>
          <w:bCs/>
        </w:rPr>
        <w:t xml:space="preserve">~1,2 million de véhicules</w:t>
      </w:r>
      <w:r>
        <w:t xml:space="preserve"> </w:t>
      </w:r>
      <w:r>
        <w:t xml:space="preserve">(Ministère des Transports, 2022), dont la majorité circule dans le Grand Abidjan. Le chiffre d'affaires du secteur automobile ivoirien est de</w:t>
      </w:r>
      <w:r>
        <w:t xml:space="preserve"> </w:t>
      </w:r>
      <w:r>
        <w:rPr>
          <w:b/>
          <w:bCs/>
        </w:rPr>
        <w:t xml:space="preserve">~400-420 Mds FCFA/an</w:t>
      </w:r>
      <w:r>
        <w:t xml:space="preserve">. Les importations de véhicules neufs ont triplé depuis 2017 (≈ 27 000 en 2024, objectif ~50 000 en 2025), rajeunissant le parc et augmentant la consommation de pièces de qualité.</w:t>
      </w:r>
    </w:p>
    <w:p>
      <w:pPr>
        <w:pStyle w:val="BodyText"/>
      </w:pPr>
      <w:r>
        <w:t xml:space="preserve">Estimation bottom-up du marché de la</w:t>
      </w:r>
      <w:r>
        <w:t xml:space="preserve"> </w:t>
      </w:r>
      <w:r>
        <w:rPr>
          <w:b/>
          <w:bCs/>
        </w:rPr>
        <w:t xml:space="preserve">pièce détachée seule</w:t>
      </w:r>
      <w:r>
        <w:t xml:space="preserve"> </w:t>
      </w:r>
      <w:r>
        <w:t xml:space="preserve">(parc × dépense annuelle moyenne)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Volume (Abidjan)</w:t>
            </w:r>
          </w:p>
        </w:tc>
        <w:tc>
          <w:tcPr/>
          <w:p>
            <w:pPr>
              <w:pStyle w:val="Compact"/>
            </w:pPr>
            <w:r>
              <w:t xml:space="preserve">Dépense pièces/véh/an</w:t>
            </w:r>
          </w:p>
        </w:tc>
        <w:tc>
          <w:tcPr/>
          <w:p>
            <w:pPr>
              <w:pStyle w:val="Compact"/>
            </w:pPr>
            <w:r>
              <w:t xml:space="preserve">Marché/an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 particulier</w:t>
            </w:r>
          </w:p>
        </w:tc>
        <w:tc>
          <w:tcPr/>
          <w:p>
            <w:pPr>
              <w:pStyle w:val="Compact"/>
            </w:pPr>
            <w:r>
              <w:t xml:space="preserve">~600 000</w:t>
            </w:r>
          </w:p>
        </w:tc>
        <w:tc>
          <w:tcPr/>
          <w:p>
            <w:pPr>
              <w:pStyle w:val="Compact"/>
            </w:pPr>
            <w:r>
              <w:t xml:space="preserve">180 000 F</w:t>
            </w:r>
          </w:p>
        </w:tc>
        <w:tc>
          <w:tcPr/>
          <w:p>
            <w:pPr>
              <w:pStyle w:val="Compact"/>
            </w:pPr>
            <w:r>
              <w:t xml:space="preserve">~108 Mds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VTC (Yango ~25 000, Heetch, inDrive, indép.)</w:t>
            </w:r>
          </w:p>
        </w:tc>
        <w:tc>
          <w:tcPr/>
          <w:p>
            <w:pPr>
              <w:pStyle w:val="Compact"/>
            </w:pPr>
            <w:r>
              <w:t xml:space="preserve">~25 000-30 000</w:t>
            </w:r>
          </w:p>
        </w:tc>
        <w:tc>
          <w:tcPr/>
          <w:p>
            <w:pPr>
              <w:pStyle w:val="Compact"/>
            </w:pPr>
            <w:r>
              <w:t xml:space="preserve">1 300 000 F</w:t>
            </w:r>
          </w:p>
        </w:tc>
        <w:tc>
          <w:tcPr/>
          <w:p>
            <w:pPr>
              <w:pStyle w:val="Compact"/>
            </w:pPr>
            <w:r>
              <w:t xml:space="preserve">~36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Taxis communaux / woro-woro</w:t>
            </w:r>
          </w:p>
        </w:tc>
        <w:tc>
          <w:tcPr/>
          <w:p>
            <w:pPr>
              <w:pStyle w:val="Compact"/>
            </w:pPr>
            <w:r>
              <w:t xml:space="preserve">~18 000</w:t>
            </w:r>
          </w:p>
        </w:tc>
        <w:tc>
          <w:tcPr/>
          <w:p>
            <w:pPr>
              <w:pStyle w:val="Compact"/>
            </w:pPr>
            <w:r>
              <w:t xml:space="preserve">350 000 F</w:t>
            </w:r>
          </w:p>
        </w:tc>
        <w:tc>
          <w:tcPr/>
          <w:p>
            <w:pPr>
              <w:pStyle w:val="Compact"/>
            </w:pPr>
            <w:r>
              <w:t xml:space="preserve">~6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collectif (gbaka, minicars)</w:t>
            </w:r>
          </w:p>
        </w:tc>
        <w:tc>
          <w:tcPr/>
          <w:p>
            <w:pPr>
              <w:pStyle w:val="Compact"/>
            </w:pPr>
            <w:r>
              <w:t xml:space="preserve">~12 000</w:t>
            </w:r>
          </w:p>
        </w:tc>
        <w:tc>
          <w:tcPr/>
          <w:p>
            <w:pPr>
              <w:pStyle w:val="Compact"/>
            </w:pPr>
            <w:r>
              <w:t xml:space="preserve">600 000 F</w:t>
            </w:r>
          </w:p>
        </w:tc>
        <w:tc>
          <w:tcPr/>
          <w:p>
            <w:pPr>
              <w:pStyle w:val="Compact"/>
            </w:pPr>
            <w:r>
              <w:t xml:space="preserve">~7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 / engins légers</w:t>
            </w:r>
          </w:p>
        </w:tc>
        <w:tc>
          <w:tcPr/>
          <w:p>
            <w:pPr>
              <w:pStyle w:val="Compact"/>
            </w:pPr>
            <w:r>
              <w:t xml:space="preserve">~8 000</w:t>
            </w:r>
          </w:p>
        </w:tc>
        <w:tc>
          <w:tcPr/>
          <w:p>
            <w:pPr>
              <w:pStyle w:val="Compact"/>
            </w:pPr>
            <w:r>
              <w:t xml:space="preserve">1 200 000 F</w:t>
            </w:r>
          </w:p>
        </w:tc>
        <w:tc>
          <w:tcPr/>
          <w:p>
            <w:pPr>
              <w:pStyle w:val="Compact"/>
            </w:pPr>
            <w:r>
              <w:t xml:space="preserve">~10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Flottes corporate (banques, telco, distrib.)</w:t>
            </w:r>
          </w:p>
        </w:tc>
        <w:tc>
          <w:tcPr/>
          <w:p>
            <w:pPr>
              <w:pStyle w:val="Compact"/>
            </w:pPr>
            <w:r>
              <w:t xml:space="preserve">~15 000</w:t>
            </w:r>
          </w:p>
        </w:tc>
        <w:tc>
          <w:tcPr/>
          <w:p>
            <w:pPr>
              <w:pStyle w:val="Compact"/>
            </w:pPr>
            <w:r>
              <w:t xml:space="preserve">350 000 F</w:t>
            </w:r>
          </w:p>
        </w:tc>
        <w:tc>
          <w:tcPr/>
          <w:p>
            <w:pPr>
              <w:pStyle w:val="Compact"/>
            </w:pPr>
            <w:r>
              <w:t xml:space="preserve">~5 Mds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Abidjan adressable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~172 Mds F/an</w:t>
            </w:r>
          </w:p>
        </w:tc>
      </w:tr>
    </w:tbl>
    <w:p>
      <w:pPr>
        <w:pStyle w:val="BodyText"/>
      </w:pPr>
      <w:r>
        <w:t xml:space="preserve">En ajoutant Bouaké, San Pedro, Yamoussoukro, Korhogo →</w:t>
      </w:r>
      <w:r>
        <w:t xml:space="preserve"> </w:t>
      </w:r>
      <w:r>
        <w:rPr>
          <w:b/>
          <w:bCs/>
        </w:rPr>
        <w:t xml:space="preserve">marché national ~250 Mds FCFA/an</w:t>
      </w:r>
      <w:r>
        <w:t xml:space="preserve"> </w:t>
      </w:r>
      <w:r>
        <w:t xml:space="preserve">sur la pièce seule (le double avec la main-d'œuvre).</w:t>
      </w:r>
    </w:p>
    <w:bookmarkEnd w:id="23"/>
    <w:bookmarkStart w:id="24" w:name="Xfe3cec51e22328401e7b8cc39de34326e4da064"/>
    <w:p>
      <w:pPr>
        <w:pStyle w:val="Heading3"/>
      </w:pPr>
      <w:r>
        <w:t xml:space="preserve">4.2 Le VTC : le meilleur point d'entrée</w:t>
      </w:r>
    </w:p>
    <w:p>
      <w:pPr>
        <w:pStyle w:val="FirstParagraph"/>
      </w:pPr>
      <w:r>
        <w:t xml:space="preserve">Le secteur a explosé : de</w:t>
      </w:r>
      <w:r>
        <w:t xml:space="preserve"> </w:t>
      </w:r>
      <w:r>
        <w:rPr>
          <w:b/>
          <w:bCs/>
        </w:rPr>
        <w:t xml:space="preserve">5 000-6 000 chauffeurs en 2024</w:t>
      </w:r>
      <w:r>
        <w:t xml:space="preserve"> </w:t>
      </w:r>
      <w:r>
        <w:t xml:space="preserve">à</w:t>
      </w:r>
      <w:r>
        <w:t xml:space="preserve"> </w:t>
      </w:r>
      <w:r>
        <w:rPr>
          <w:b/>
          <w:bCs/>
        </w:rPr>
        <w:t xml:space="preserve">~30 000 véhicules VTC en activité début 2026</w:t>
      </w:r>
      <w:r>
        <w:t xml:space="preserve"> </w:t>
      </w:r>
      <w:r>
        <w:t xml:space="preserve">au niveau national (estimation Déclic Car), et plus de 20 000 emplois créés.</w:t>
      </w:r>
      <w:r>
        <w:t xml:space="preserve"> </w:t>
      </w:r>
      <w:r>
        <w:rPr>
          <w:b/>
          <w:bCs/>
        </w:rPr>
        <w:t xml:space="preserve">Uber a quitté la Côte d'Ivoire le 25 septembre 2025</w:t>
      </w:r>
      <w:r>
        <w:t xml:space="preserve">, laissant</w:t>
      </w:r>
      <w:r>
        <w:t xml:space="preserve"> </w:t>
      </w:r>
      <w:r>
        <w:rPr>
          <w:b/>
          <w:bCs/>
        </w:rPr>
        <w:t xml:space="preserve">Yango ultra-dominant</w:t>
      </w:r>
      <w:r>
        <w:t xml:space="preserve"> </w:t>
      </w:r>
      <w:r>
        <w:t xml:space="preserve">: la plateforme revendique</w:t>
      </w:r>
      <w:r>
        <w:t xml:space="preserve"> </w:t>
      </w:r>
      <w:r>
        <w:rPr>
          <w:b/>
          <w:bCs/>
        </w:rPr>
        <w:t xml:space="preserve">~25 000 véhicules à Abidjan, ~100 000 courses par jour, et plus de 160 entreprises de flotte</w:t>
      </w:r>
      <w:r>
        <w:t xml:space="preserve"> </w:t>
      </w:r>
      <w:r>
        <w:t xml:space="preserve">créées dans son sillage (bureau régional Afrique de l'Ouest ouvert à Abidjan en juillet 2025). Heetch et inDrive complètent le marché.</w:t>
      </w:r>
    </w:p>
    <w:p>
      <w:pPr>
        <w:pStyle w:val="BodyText"/>
      </w:pPr>
      <w:r>
        <w:t xml:space="preserve">La demande de mobilité est massive (</w:t>
      </w:r>
      <w:r>
        <w:rPr>
          <w:b/>
          <w:bCs/>
        </w:rPr>
        <w:t xml:space="preserve">~4 milliards FCFA dépensés par jour en déplacements à Abidjan</w:t>
      </w:r>
      <w:r>
        <w:t xml:space="preserve">) et Yango recrute en continu : le marché est tiré par la demande, pas saturé côté offre.</w:t>
      </w:r>
    </w:p>
    <w:p>
      <w:pPr>
        <w:pStyle w:val="BodyText"/>
      </w:pPr>
      <w:r>
        <w:t xml:space="preserve">Le VTC n'est pas le plus gros segment du parc, mais c'est</w:t>
      </w:r>
      <w:r>
        <w:t xml:space="preserve"> </w:t>
      </w:r>
      <w:r>
        <w:rPr>
          <w:b/>
          <w:bCs/>
        </w:rPr>
        <w:t xml:space="preserve">le meilleur point d'entrée</w:t>
      </w:r>
      <w:r>
        <w:t xml:space="preserve"> </w:t>
      </w:r>
      <w:r>
        <w:t xml:space="preserve">: un véhicule VTC roule</w:t>
      </w:r>
      <w:r>
        <w:t xml:space="preserve"> </w:t>
      </w:r>
      <w:r>
        <w:rPr>
          <w:b/>
          <w:bCs/>
        </w:rPr>
        <w:t xml:space="preserve">~44 000 km/an</w:t>
      </w:r>
      <w:r>
        <w:t xml:space="preserve"> </w:t>
      </w:r>
      <w:r>
        <w:t xml:space="preserve">(3× un particulier), use ses pièces 3× plus vite (dépense pièces</w:t>
      </w:r>
      <w:r>
        <w:t xml:space="preserve"> </w:t>
      </w:r>
      <w:r>
        <w:rPr>
          <w:b/>
          <w:bCs/>
        </w:rPr>
        <w:t xml:space="preserve">~1,3 M FCFA/véh/an</w:t>
      </w:r>
      <w:r>
        <w:t xml:space="preserve">), et chaque jour d'immobilisation détruit directement du revenu (15 000-30 000 F/jour). La douleur est aiguë, récurrente et mesurable : idéale pour prouver le ROI, bâtir les cas clients et la base de données de compatibilité avant d'étendre au parc entier.</w:t>
      </w:r>
      <w:r>
        <w:t xml:space="preserve"> </w:t>
      </w:r>
      <w:r>
        <w:rPr>
          <w:b/>
          <w:bCs/>
        </w:rPr>
        <w:t xml:space="preserve">Les ~160 entreprises de flotte du réseau Yango sont des cibles B2B concentrées et immédiatement adressables.</w:t>
      </w:r>
    </w:p>
    <w:bookmarkEnd w:id="24"/>
    <w:bookmarkStart w:id="25" w:name="X9e3d0f1c7d27a43b68166fbc9afa5e9cc96bf4a"/>
    <w:p>
      <w:pPr>
        <w:pStyle w:val="Heading3"/>
      </w:pPr>
      <w:r>
        <w:t xml:space="preserve">4.3 Dynamique</w:t>
      </w:r>
    </w:p>
    <w:p>
      <w:pPr>
        <w:pStyle w:val="FirstParagraph"/>
      </w:pPr>
      <w:r>
        <w:t xml:space="preserve">Quatre tendances poussent dans le même sens : la restriction de l'âge des véhicules importés, le rajeunissement du parc, la digitalisation accrue des moyens de paiement et la formalisation fiscale (FNE-CI). L'après-vente automobile se digitalise, et le moment d'entrer, c'est</w:t>
      </w:r>
      <w:r>
        <w:t xml:space="preserve"> </w:t>
      </w:r>
      <w:r>
        <w:rPr>
          <w:b/>
          <w:bCs/>
        </w:rPr>
        <w:t xml:space="preserve">maintenant</w:t>
      </w:r>
      <w:r>
        <w:t xml:space="preserve">.</w:t>
      </w:r>
    </w:p>
    <w:bookmarkEnd w:id="25"/>
    <w:bookmarkEnd w:id="26"/>
    <w:bookmarkStart w:id="27" w:name="Xfbb8c32b584df6b04ab55d623467c91a6c3eeeb"/>
    <w:p>
      <w:pPr>
        <w:pStyle w:val="Heading2"/>
      </w:pPr>
      <w:r>
        <w:t xml:space="preserve">5. Concurrence &amp; douve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Menace</w:t>
            </w:r>
          </w:p>
        </w:tc>
        <w:tc>
          <w:tcPr/>
          <w:p>
            <w:pPr>
              <w:pStyle w:val="Compact"/>
            </w:pPr>
            <w:r>
              <w:t xml:space="preserve">Notre 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Magasins + WhatsApp + Excel</w:t>
            </w:r>
          </w:p>
        </w:tc>
        <w:tc>
          <w:tcPr/>
          <w:p>
            <w:pPr>
              <w:pStyle w:val="Compact"/>
            </w:pPr>
            <w:r>
              <w:t xml:space="preserve">Le vrai concurrent (90 % des flux)</w:t>
            </w:r>
          </w:p>
        </w:tc>
        <w:tc>
          <w:tcPr/>
          <w:p>
            <w:pPr>
              <w:pStyle w:val="Compact"/>
            </w:pPr>
            <w:r>
              <w:t xml:space="preserve">Rendre ce stack obsolète sans rupture de comportement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Sites e-commerce locaux</w:t>
            </w:r>
            <w:r>
              <w:t xml:space="preserve"> </w:t>
            </w:r>
            <w:r>
              <w:t xml:space="preserve">(global-auto, MobriStore, MAPA-CI, EasyPieces, OK Pièces, Lakasse, s-automeca…)</w:t>
            </w:r>
          </w:p>
        </w:tc>
        <w:tc>
          <w:tcPr/>
          <w:p>
            <w:pPr>
              <w:pStyle w:val="Compact"/>
            </w:pPr>
            <w:r>
              <w:t xml:space="preserve">Catalogues web fragmentés et étroits</w:t>
            </w:r>
          </w:p>
        </w:tc>
        <w:tc>
          <w:tcPr/>
          <w:p>
            <w:pPr>
              <w:pStyle w:val="Compact"/>
            </w:pPr>
            <w:r>
              <w:t xml:space="preserve">Catalogues miroités ; nous agrégeons et normalisons tout le marché, eux ne voient pas nos prix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Jumia / Glovo / Yango Tech</w:t>
            </w:r>
          </w:p>
        </w:tc>
        <w:tc>
          <w:tcPr/>
          <w:p>
            <w:pPr>
              <w:pStyle w:val="Compact"/>
            </w:pPr>
            <w:r>
              <w:t xml:space="preserve">Capital, pourraient acquérir à 24-36 mois</w:t>
            </w:r>
          </w:p>
        </w:tc>
        <w:tc>
          <w:tcPr/>
          <w:p>
            <w:pPr>
              <w:pStyle w:val="Compact"/>
            </w:pPr>
            <w:r>
              <w:t xml:space="preserve">Avance terrain + compatibilité des données à industrialiser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FleetOps (gestion partenaires Yango)</w:t>
            </w:r>
          </w:p>
        </w:tc>
        <w:tc>
          <w:tcPr/>
          <w:p>
            <w:pPr>
              <w:pStyle w:val="Compact"/>
            </w:pPr>
            <w:r>
              <w:t xml:space="preserve">Gère chauffeurs/loueurs (39 000+ suivis), pas le coût pièces</w:t>
            </w:r>
          </w:p>
        </w:tc>
        <w:tc>
          <w:tcPr/>
          <w:p>
            <w:pPr>
              <w:pStyle w:val="Compact"/>
            </w:pPr>
            <w:r>
              <w:t xml:space="preserve">Partenaire d'intégration potentiel, pas concurrent sur la pièce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Outils fleet européens (Fleetio, Geotab)</w:t>
            </w:r>
          </w:p>
        </w:tc>
        <w:tc>
          <w:tcPr/>
          <w:p>
            <w:pPr>
              <w:pStyle w:val="Compact"/>
            </w:pPr>
            <w:r>
              <w:t xml:space="preserve">Génériques, non localisés</w:t>
            </w:r>
          </w:p>
        </w:tc>
        <w:tc>
          <w:tcPr/>
          <w:p>
            <w:pPr>
              <w:pStyle w:val="Compact"/>
            </w:pPr>
            <w:r>
              <w:t xml:space="preserve">FCFA, fournisseurs CI, FNE-CI natif</w:t>
            </w:r>
          </w:p>
        </w:tc>
      </w:tr>
    </w:tbl>
    <w:p>
      <w:pPr>
        <w:pStyle w:val="BodyText"/>
      </w:pPr>
      <w:r>
        <w:t xml:space="preserve">Notre cartographie terrain et technique de juin 2026 recense</w:t>
      </w:r>
      <w:r>
        <w:t xml:space="preserve"> </w:t>
      </w:r>
      <w:r>
        <w:rPr>
          <w:b/>
          <w:bCs/>
        </w:rPr>
        <w:t xml:space="preserve">plus d'une dizaine de sites locaux</w:t>
      </w:r>
      <w:r>
        <w:t xml:space="preserve"> </w:t>
      </w:r>
      <w:r>
        <w:t xml:space="preserve">(EasyPieces, OK Pièces Auto, MAPA-CI, General Auto Parts, MobriStore, Lakasse, s-automeca, global-auto…). Aucun ne combine largeur de catalogue, prix affichés et compatibilité véhicule : Lakasse expose 21 références, s-automeca affiche 11 750 produits mais</w:t>
      </w:r>
      <w:r>
        <w:t xml:space="preserve"> </w:t>
      </w:r>
      <w:r>
        <w:rPr>
          <w:b/>
          <w:bCs/>
        </w:rPr>
        <w:t xml:space="preserve">sans prix</w:t>
      </w:r>
      <w:r>
        <w:t xml:space="preserve"> </w:t>
      </w:r>
      <w:r>
        <w:t xml:space="preserve">(sur demande), et la plupart n'ont ni API ni catalogue structuré. Le marché reste entièrement à agréger.</w:t>
      </w:r>
    </w:p>
    <w:p>
      <w:pPr>
        <w:pStyle w:val="BodyText"/>
      </w:pPr>
      <w:r>
        <w:rPr>
          <w:b/>
          <w:bCs/>
        </w:rPr>
        <w:t xml:space="preserve">Notre douve, cumulée et défendable à 36 mois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 réseau Liaison et la cartographie de la chaîne</w:t>
      </w:r>
      <w:r>
        <w:t xml:space="preserve"> </w:t>
      </w:r>
      <w:r>
        <w:t xml:space="preserve">: des agents terrain qui recensent et digitalisent tous les acteurs (importateurs en gros jusqu'aux détaillants, formels comme informels) et leurs produits, même hors ligne. Objectif : 80 agents sous 12 mois.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compatibilité des données Côte d'Ivoire</w:t>
      </w:r>
      <w:r>
        <w:t xml:space="preserve"> </w:t>
      </w:r>
      <w:r>
        <w:t xml:space="preserve">: quelle pièce va sur quel véhicule local. Inattaquable à 100 000 transactions.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 paiement à la livraison et la garantie Pièces</w:t>
      </w:r>
      <w:r>
        <w:t xml:space="preserve"> </w:t>
      </w:r>
      <w:r>
        <w:t xml:space="preserve">: de la confiance institutionnelle dans un marché de méfiance.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conformité FNE-CI native</w:t>
      </w:r>
      <w:r>
        <w:t xml:space="preserve"> </w:t>
      </w:r>
      <w:r>
        <w:t xml:space="preserve">: premier à émettre la facture normalisée DGI sur la pièce.</w:t>
      </w:r>
    </w:p>
    <w:bookmarkEnd w:id="27"/>
    <w:bookmarkStart w:id="28" w:name="X7c2aabc633271713b97276edaacc989d2dcb614"/>
    <w:p>
      <w:pPr>
        <w:pStyle w:val="Heading2"/>
      </w:pPr>
      <w:r>
        <w:t xml:space="preserve">6. Modèle économique</w:t>
      </w:r>
    </w:p>
    <w:p>
      <w:pPr>
        <w:pStyle w:val="FirstParagraph"/>
      </w:pPr>
      <w:r>
        <w:t xml:space="preserve">Quatre flux de revenus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Mécanique</w:t>
            </w:r>
          </w:p>
        </w:tc>
        <w:tc>
          <w:tcPr/>
          <w:p>
            <w:pPr>
              <w:pStyle w:val="Compact"/>
            </w:pPr>
            <w:r>
              <w:t xml:space="preserve">Cible mature (an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 marketplace</w:t>
            </w:r>
          </w:p>
        </w:tc>
        <w:tc>
          <w:tcPr/>
          <w:p>
            <w:pPr>
              <w:pStyle w:val="Compact"/>
            </w:pPr>
            <w:r>
              <w:t xml:space="preserve">7-15 %, prélevée au moment du paiement par l'acheteur</w:t>
            </w:r>
          </w:p>
        </w:tc>
        <w:tc>
          <w:tcPr/>
          <w:p>
            <w:pPr>
              <w:pStyle w:val="Compact"/>
            </w:pPr>
            <w:r>
              <w:t xml:space="preserve">45 % du revenu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Abonnement Flotte Pro</w:t>
            </w:r>
          </w:p>
        </w:tc>
        <w:tc>
          <w:tcPr/>
          <w:p>
            <w:pPr>
              <w:pStyle w:val="Compact"/>
            </w:pPr>
            <w:r>
              <w:t xml:space="preserve">5 000 F / véh / mois</w:t>
            </w:r>
          </w:p>
        </w:tc>
        <w:tc>
          <w:tcPr/>
          <w:p>
            <w:pPr>
              <w:pStyle w:val="Compact"/>
            </w:pPr>
            <w:r>
              <w:t xml:space="preserve">35 % du revenu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Abonnement Flotte Pro +</w:t>
            </w:r>
          </w:p>
        </w:tc>
        <w:tc>
          <w:tcPr/>
          <w:p>
            <w:pPr>
              <w:pStyle w:val="Compact"/>
            </w:pPr>
            <w:r>
              <w:t xml:space="preserve">10 000 F / véh / mois (livraison express prioritaire)</w:t>
            </w:r>
          </w:p>
        </w:tc>
        <w:tc>
          <w:tcPr/>
          <w:p>
            <w:pPr>
              <w:pStyle w:val="Compact"/>
            </w:pPr>
            <w:r>
              <w:t xml:space="preserve">15 % du revenu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Conformité / facturation</w:t>
            </w:r>
          </w:p>
        </w:tc>
        <w:tc>
          <w:tcPr/>
          <w:p>
            <w:pPr>
              <w:pStyle w:val="Compact"/>
            </w:pPr>
            <w:r>
              <w:t xml:space="preserve">Forfait FNE-CI, prestations</w:t>
            </w:r>
          </w:p>
        </w:tc>
        <w:tc>
          <w:tcPr/>
          <w:p>
            <w:pPr>
              <w:pStyle w:val="Compact"/>
            </w:pPr>
            <w:r>
              <w:t xml:space="preserve">5 % du revenu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Unit economics cibles :</w:t>
      </w:r>
    </w:p>
    <w:p>
      <w:pPr>
        <w:pStyle w:val="Compact"/>
        <w:numPr>
          <w:ilvl w:val="0"/>
          <w:numId w:val="1004"/>
        </w:numPr>
      </w:pPr>
      <w:r>
        <w:t xml:space="preserve">Panier moyen marketplace</w:t>
      </w:r>
      <w:r>
        <w:t xml:space="preserve"> </w:t>
      </w:r>
      <w:r>
        <w:rPr>
          <w:b/>
          <w:bCs/>
        </w:rPr>
        <w:t xml:space="preserve">32 000 F</w:t>
      </w:r>
      <w:r>
        <w:t xml:space="preserve">, take rate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3 200 F</w:t>
      </w:r>
      <w:r>
        <w:t xml:space="preserve"> </w:t>
      </w:r>
      <w:r>
        <w:t xml:space="preserve">de revenu net par commande.</w:t>
      </w:r>
    </w:p>
    <w:p>
      <w:pPr>
        <w:pStyle w:val="Compact"/>
        <w:numPr>
          <w:ilvl w:val="0"/>
          <w:numId w:val="1004"/>
        </w:numPr>
      </w:pPr>
      <w:r>
        <w:t xml:space="preserve">CAC mécanicien</w:t>
      </w:r>
      <w:r>
        <w:t xml:space="preserve"> </w:t>
      </w:r>
      <w:r>
        <w:rPr>
          <w:b/>
          <w:bCs/>
        </w:rPr>
        <w:t xml:space="preserve">&lt; 1 500 F</w:t>
      </w:r>
      <w:r>
        <w:t xml:space="preserve"> </w:t>
      </w:r>
      <w:r>
        <w:t xml:space="preserve">(organique + Liaison) ; CAC flotte indépendante</w:t>
      </w:r>
      <w:r>
        <w:t xml:space="preserve"> </w:t>
      </w:r>
      <w:r>
        <w:rPr>
          <w:b/>
          <w:bCs/>
        </w:rPr>
        <w:t xml:space="preserve">25 000-60 000 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LTV Flotte Pro (24 mois, churn 4 %/mois)</w:t>
      </w:r>
      <w:r>
        <w:t xml:space="preserve"> </w:t>
      </w:r>
      <w:r>
        <w:rPr>
          <w:b/>
          <w:bCs/>
        </w:rPr>
        <w:t xml:space="preserve">~85 000 F/véhicule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 LTV/CAC &gt; 4</w:t>
      </w:r>
      <w:r>
        <w:t xml:space="preserve"> </w:t>
      </w:r>
      <w:r>
        <w:t xml:space="preserve">sur tous les segments dès M12.</w:t>
      </w:r>
    </w:p>
    <w:bookmarkEnd w:id="28"/>
    <w:bookmarkStart w:id="29" w:name="X3a5a11bcd4042d015c7e0cacd8b015163683533"/>
    <w:p>
      <w:pPr>
        <w:pStyle w:val="Heading2"/>
      </w:pPr>
      <w:r>
        <w:t xml:space="preserve">7. Go-to-market</w:t>
      </w:r>
    </w:p>
    <w:p>
      <w:pPr>
        <w:pStyle w:val="FirstParagraph"/>
      </w:pPr>
      <w:r>
        <w:t xml:space="preserve">Stratégie en 5 mouvements sur 24 mois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M0-6, verrouiller les principaux vendeurs</w:t>
      </w:r>
      <w:r>
        <w:t xml:space="preserve"> </w:t>
      </w:r>
      <w:r>
        <w:t xml:space="preserve">: 85 à 90 % des pièces du marché enregistrées, 20 Liaisons, 300 vendeurs onboardés, 350 commandes/jour à M6.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M3-12, prendre le VTC</w:t>
      </w:r>
      <w:r>
        <w:t xml:space="preserve"> </w:t>
      </w:r>
      <w:r>
        <w:t xml:space="preserve">: partenariat Yango (déploiement initial sur 200 conducteurs, puis déploiement de masse), Heetch en parallèle, démarchage des flottes indépendantes (5 à 200 véhicules), 3 cas clients chiffrés (-20 % budget pièces).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M6-15, devenir le standard FNE-CI</w:t>
      </w:r>
      <w:r>
        <w:t xml:space="preserve"> </w:t>
      </w:r>
      <w:r>
        <w:t xml:space="preserve">: intégration DGI, vente directe aux DAF (« nous vous aidons à récupérer la TVA que vous perdez aujourd'hui 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M12-18, étendre BTP / transport collectif / corporate</w:t>
      </w:r>
      <w:r>
        <w:t xml:space="preserve"> </w:t>
      </w:r>
      <w:r>
        <w:t xml:space="preserve">: +2 500 véhicules au-delà du VTC.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M18-24, sortir d'Abidjan</w:t>
      </w:r>
      <w:r>
        <w:t xml:space="preserve"> </w:t>
      </w:r>
      <w:r>
        <w:t xml:space="preserve">: Bouaké, San Pedro, puis un pilote sous-régional (Dakar/Cotonou).</w:t>
      </w:r>
    </w:p>
    <w:p>
      <w:pPr>
        <w:pStyle w:val="FirstParagraph"/>
      </w:pPr>
      <w:r>
        <w:t xml:space="preserve">Canaux d'acquisition : commerciaux, Liaison terrain, réseaux sociaux, télé (demande), vente directe B2B (account executives), partenariats plateformes VTC, prescription experts-comptables/DAF.</w:t>
      </w:r>
    </w:p>
    <w:bookmarkEnd w:id="29"/>
    <w:bookmarkStart w:id="30" w:name="Xe133d617bb5657d9dcbe4bf6b4c0319c49e34cb"/>
    <w:p>
      <w:pPr>
        <w:pStyle w:val="Heading2"/>
      </w:pPr>
      <w:r>
        <w:t xml:space="preserve">8. Projections financières (3 ans)</w:t>
      </w:r>
    </w:p>
    <w:p>
      <w:pPr>
        <w:pStyle w:val="FirstParagraph"/>
      </w:pPr>
      <w:r>
        <w:t xml:space="preserve">Hypothèses : 1 EUR ≈ 656 FCFA. Lancement commercial H2 2026. Chiffres en projections, à valider sur données réelles.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An 1</w:t>
            </w:r>
          </w:p>
        </w:tc>
        <w:tc>
          <w:tcPr/>
          <w:p>
            <w:pPr>
              <w:pStyle w:val="Compact"/>
            </w:pPr>
            <w:r>
              <w:t xml:space="preserve">An 2</w:t>
            </w:r>
          </w:p>
        </w:tc>
        <w:tc>
          <w:tcPr/>
          <w:p>
            <w:pPr>
              <w:pStyle w:val="Compact"/>
            </w:pPr>
            <w:r>
              <w:t xml:space="preserve">An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 marketplace / jour (fin de période)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2 800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GMV marketplace</w:t>
            </w:r>
          </w:p>
        </w:tc>
        <w:tc>
          <w:tcPr/>
          <w:p>
            <w:pPr>
              <w:pStyle w:val="Compact"/>
            </w:pPr>
            <w:r>
              <w:t xml:space="preserve">~2,9 Mds F</w:t>
            </w:r>
          </w:p>
        </w:tc>
        <w:tc>
          <w:tcPr/>
          <w:p>
            <w:pPr>
              <w:pStyle w:val="Compact"/>
            </w:pPr>
            <w:r>
              <w:t xml:space="preserve">~11,5 Mds F</w:t>
            </w:r>
          </w:p>
        </w:tc>
        <w:tc>
          <w:tcPr/>
          <w:p>
            <w:pPr>
              <w:pStyle w:val="Compact"/>
            </w:pPr>
            <w:r>
              <w:t xml:space="preserve">~26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Véhicules sous abonnement (fin de période)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 net Pièces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~0,28 Md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~1,15 Md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~3,2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 brute</w:t>
            </w:r>
          </w:p>
        </w:tc>
        <w:tc>
          <w:tcPr/>
          <w:p>
            <w:pPr>
              <w:pStyle w:val="Compact"/>
            </w:pPr>
            <w:r>
              <w:t xml:space="preserve">~25 %</w:t>
            </w:r>
          </w:p>
        </w:tc>
        <w:tc>
          <w:tcPr/>
          <w:p>
            <w:pPr>
              <w:pStyle w:val="Compact"/>
            </w:pPr>
            <w:r>
              <w:t xml:space="preserve">~35 %</w:t>
            </w:r>
          </w:p>
        </w:tc>
        <w:tc>
          <w:tcPr/>
          <w:p>
            <w:pPr>
              <w:pStyle w:val="Compact"/>
            </w:pPr>
            <w:r>
              <w:t xml:space="preserve">~45 %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négatif</w:t>
            </w:r>
          </w:p>
        </w:tc>
        <w:tc>
          <w:tcPr/>
          <w:p>
            <w:pPr>
              <w:pStyle w:val="Compact"/>
            </w:pPr>
            <w:r>
              <w:t xml:space="preserve">≈ break-even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</w:tr>
    </w:tbl>
    <w:p>
      <w:pPr>
        <w:pStyle w:val="BodyText"/>
      </w:pPr>
      <w:r>
        <w:t xml:space="preserve">L'an 3 atteint l'objectif stratégique :</w:t>
      </w:r>
      <w:r>
        <w:t xml:space="preserve"> </w:t>
      </w:r>
      <w:r>
        <w:rPr>
          <w:b/>
          <w:bCs/>
        </w:rPr>
        <w:t xml:space="preserve">5 000+ véhicules</w:t>
      </w:r>
      <w:r>
        <w:t xml:space="preserve"> </w:t>
      </w:r>
      <w:r>
        <w:t xml:space="preserve">sous abonnement et</w:t>
      </w:r>
      <w:r>
        <w:t xml:space="preserve"> </w:t>
      </w:r>
      <w:r>
        <w:rPr>
          <w:b/>
          <w:bCs/>
        </w:rPr>
        <w:t xml:space="preserve">~25 000 transactions marketplace/mois</w:t>
      </w:r>
      <w:r>
        <w:t xml:space="preserve">, position de standard de fait sur la facturation normalisée.</w:t>
      </w:r>
    </w:p>
    <w:bookmarkEnd w:id="30"/>
    <w:bookmarkStart w:id="36" w:name="X43c579b601c38b9082e0be04d6bdb1a843ef7a5"/>
    <w:p>
      <w:pPr>
        <w:pStyle w:val="Heading2"/>
      </w:pPr>
      <w:r>
        <w:t xml:space="preserve">9. La levée : combien, pourquoi, pour quoi</w:t>
      </w:r>
    </w:p>
    <w:bookmarkStart w:id="31" w:name="X959eaac1a283f8adcc07af4c0e334e27d757517"/>
    <w:p>
      <w:pPr>
        <w:pStyle w:val="Heading3"/>
      </w:pPr>
      <w:r>
        <w:t xml:space="preserve">9.1 Le besoin</w:t>
      </w:r>
    </w:p>
    <w:p>
      <w:pPr>
        <w:pStyle w:val="FirstParagraph"/>
      </w:pPr>
      <w:r>
        <w:t xml:space="preserve">Pour « bien commencer » vers ces objectifs, il faut financer</w:t>
      </w:r>
      <w:r>
        <w:t xml:space="preserve"> </w:t>
      </w:r>
      <w:r>
        <w:rPr>
          <w:b/>
          <w:bCs/>
        </w:rPr>
        <w:t xml:space="preserve">18 à 20 mois</w:t>
      </w:r>
      <w:r>
        <w:t xml:space="preserve"> </w:t>
      </w:r>
      <w:r>
        <w:t xml:space="preserve">d'exécution jusqu'aux jalons d'un Seed. Construction du burn mensuel (FCFA)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M0-6 (build + Adjamé)</w:t>
            </w:r>
          </w:p>
        </w:tc>
        <w:tc>
          <w:tcPr/>
          <w:p>
            <w:pPr>
              <w:pStyle w:val="Compact"/>
            </w:pPr>
            <w:r>
              <w:t xml:space="preserve">M7-12 (VTC + monétisation)</w:t>
            </w:r>
          </w:p>
        </w:tc>
        <w:tc>
          <w:tcPr/>
          <w:p>
            <w:pPr>
              <w:pStyle w:val="Compact"/>
            </w:pPr>
            <w:r>
              <w:t xml:space="preserve">M13-18 (scale)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</w:t>
            </w:r>
          </w:p>
        </w:tc>
        <w:tc>
          <w:tcPr/>
          <w:p>
            <w:pPr>
              <w:pStyle w:val="Compact"/>
            </w:pPr>
            <w:r>
              <w:t xml:space="preserve">~12 M/mois</w:t>
            </w:r>
          </w:p>
        </w:tc>
        <w:tc>
          <w:tcPr/>
          <w:p>
            <w:pPr>
              <w:pStyle w:val="Compact"/>
            </w:pPr>
            <w:r>
              <w:t xml:space="preserve">~22 M/mois</w:t>
            </w:r>
          </w:p>
        </w:tc>
        <w:tc>
          <w:tcPr/>
          <w:p>
            <w:pPr>
              <w:pStyle w:val="Compact"/>
            </w:pPr>
            <w:r>
              <w:t xml:space="preserve">~30 M/mois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Liaison &amp; ops terrain</w:t>
            </w:r>
          </w:p>
        </w:tc>
        <w:tc>
          <w:tcPr/>
          <w:p>
            <w:pPr>
              <w:pStyle w:val="Compact"/>
            </w:pPr>
            <w:r>
              <w:t xml:space="preserve">inclus</w:t>
            </w:r>
          </w:p>
        </w:tc>
        <w:tc>
          <w:tcPr/>
          <w:p>
            <w:pPr>
              <w:pStyle w:val="Compact"/>
            </w:pPr>
            <w:r>
              <w:t xml:space="preserve">inclus</w:t>
            </w:r>
          </w:p>
        </w:tc>
        <w:tc>
          <w:tcPr/>
          <w:p>
            <w:pPr>
              <w:pStyle w:val="Compac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acquisition</w:t>
            </w:r>
          </w:p>
        </w:tc>
        <w:tc>
          <w:tcPr/>
          <w:p>
            <w:pPr>
              <w:pStyle w:val="Compact"/>
            </w:pPr>
            <w:r>
              <w:t xml:space="preserve">~3 M/mois</w:t>
            </w:r>
          </w:p>
        </w:tc>
        <w:tc>
          <w:tcPr/>
          <w:p>
            <w:pPr>
              <w:pStyle w:val="Compact"/>
            </w:pPr>
            <w:r>
              <w:t xml:space="preserve">~6 M/mois</w:t>
            </w:r>
          </w:p>
        </w:tc>
        <w:tc>
          <w:tcPr/>
          <w:p>
            <w:pPr>
              <w:pStyle w:val="Compact"/>
            </w:pPr>
            <w:r>
              <w:t xml:space="preserve">~8 M/mois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Logistique / livreurs / stock tampon</w:t>
            </w:r>
          </w:p>
        </w:tc>
        <w:tc>
          <w:tcPr/>
          <w:p>
            <w:pPr>
              <w:pStyle w:val="Compact"/>
            </w:pPr>
            <w:r>
              <w:t xml:space="preserve">~2 M/mois</w:t>
            </w:r>
          </w:p>
        </w:tc>
        <w:tc>
          <w:tcPr/>
          <w:p>
            <w:pPr>
              <w:pStyle w:val="Compact"/>
            </w:pPr>
            <w:r>
              <w:t xml:space="preserve">~5 M/mois</w:t>
            </w:r>
          </w:p>
        </w:tc>
        <w:tc>
          <w:tcPr/>
          <w:p>
            <w:pPr>
              <w:pStyle w:val="Compact"/>
            </w:pPr>
            <w:r>
              <w:t xml:space="preserve">~8 M/mois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Cloud, outils, bureau, légal</w:t>
            </w:r>
          </w:p>
        </w:tc>
        <w:tc>
          <w:tcPr/>
          <w:p>
            <w:pPr>
              <w:pStyle w:val="Compact"/>
            </w:pPr>
            <w:r>
              <w:t xml:space="preserve">~5 M/mois</w:t>
            </w:r>
          </w:p>
        </w:tc>
        <w:tc>
          <w:tcPr/>
          <w:p>
            <w:pPr>
              <w:pStyle w:val="Compact"/>
            </w:pPr>
            <w:r>
              <w:t xml:space="preserve">~7 M/mois</w:t>
            </w:r>
          </w:p>
        </w:tc>
        <w:tc>
          <w:tcPr/>
          <w:p>
            <w:pPr>
              <w:pStyle w:val="Compact"/>
            </w:pPr>
            <w:r>
              <w:t xml:space="preserve">~8 M/mois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brut mensuel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~22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net (compensation)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~25 M (croissant)</w:t>
            </w:r>
          </w:p>
        </w:tc>
        <w:tc>
          <w:tcPr/>
          <w:p>
            <w:pPr>
              <w:pStyle w:val="Compact"/>
            </w:pPr>
            <w:r>
              <w:t xml:space="preserve">~50 M (≈ break-even)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net mensuel</w:t>
            </w:r>
          </w:p>
        </w:tc>
        <w:tc>
          <w:tcPr/>
          <w:p>
            <w:pPr>
              <w:pStyle w:val="Compact"/>
            </w:pPr>
            <w:r>
              <w:t xml:space="preserve">~22 M</w:t>
            </w:r>
          </w:p>
        </w:tc>
        <w:tc>
          <w:tcPr/>
          <w:p>
            <w:pPr>
              <w:pStyle w:val="Compact"/>
            </w:pPr>
            <w:r>
              <w:t xml:space="preserve">~15 M</w:t>
            </w:r>
          </w:p>
        </w:tc>
        <w:tc>
          <w:tcPr/>
          <w:p>
            <w:pPr>
              <w:pStyle w:val="Compact"/>
            </w:pPr>
            <w:r>
              <w:t xml:space="preserve">~0-5 M</w:t>
            </w:r>
          </w:p>
        </w:tc>
      </w:tr>
    </w:tbl>
    <w:p>
      <w:pPr>
        <w:pStyle w:val="BodyText"/>
      </w:pPr>
      <w:r>
        <w:t xml:space="preserve">Burn net opérationnel cumulé M0-18 ≈</w:t>
      </w:r>
      <w:r>
        <w:t xml:space="preserve"> </w:t>
      </w:r>
      <w:r>
        <w:rPr>
          <w:b/>
          <w:bCs/>
        </w:rPr>
        <w:t xml:space="preserve">300-350 M FCFA</w:t>
      </w:r>
      <w:r>
        <w:t xml:space="preserve">, auquel s'ajoutent le</w:t>
      </w:r>
      <w:r>
        <w:t xml:space="preserve"> </w:t>
      </w:r>
      <w:r>
        <w:rPr>
          <w:b/>
          <w:bCs/>
        </w:rPr>
        <w:t xml:space="preserve">fonds de roulement</w:t>
      </w:r>
      <w:r>
        <w:t xml:space="preserve"> </w:t>
      </w:r>
      <w:r>
        <w:t xml:space="preserve">(stock tampon prioritaire, ~100-150 M F), un</w:t>
      </w:r>
      <w:r>
        <w:t xml:space="preserve"> </w:t>
      </w:r>
      <w:r>
        <w:rPr>
          <w:b/>
          <w:bCs/>
        </w:rPr>
        <w:t xml:space="preserve">coussin de sécurité / contingence</w:t>
      </w:r>
      <w:r>
        <w:t xml:space="preserve"> </w:t>
      </w:r>
      <w:r>
        <w:t xml:space="preserve">(~150-200 M F) et une réserve de préparation du tour Seed.</w:t>
      </w:r>
    </w:p>
    <w:bookmarkEnd w:id="31"/>
    <w:bookmarkStart w:id="32" w:name="X281d52bfc97427ec2276e516ed8cc65fb293d6e"/>
    <w:p>
      <w:pPr>
        <w:pStyle w:val="Heading3"/>
      </w:pPr>
      <w:r>
        <w:t xml:space="preserve">9.2 Recommandation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t xml:space="preserve">Logique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~0,7 M EUR (460 M F)</w:t>
            </w:r>
          </w:p>
        </w:tc>
        <w:tc>
          <w:tcPr/>
          <w:p>
            <w:pPr>
              <w:pStyle w:val="Compact"/>
            </w:pPr>
            <w:r>
              <w:t xml:space="preserve">~12-14 mois</w:t>
            </w:r>
          </w:p>
        </w:tc>
        <w:tc>
          <w:tcPr/>
          <w:p>
            <w:pPr>
              <w:pStyle w:val="Compact"/>
            </w:pPr>
            <w:r>
              <w:t xml:space="preserve">Strict minimum, peu de marge d'erreur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 M EUR (655 M 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~18-20 mois</w:t>
            </w:r>
          </w:p>
        </w:tc>
        <w:tc>
          <w:tcPr/>
          <w:p>
            <w:pPr>
              <w:pStyle w:val="Compact"/>
            </w:pPr>
            <w:r>
              <w:t xml:space="preserve">Atteint les jalons du Seed avec coussin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</w:p>
        </w:tc>
        <w:tc>
          <w:tcPr/>
          <w:p>
            <w:pPr>
              <w:pStyle w:val="Compact"/>
            </w:pPr>
            <w:r>
              <w:t xml:space="preserve">~1,3 M EUR (850 M F)</w:t>
            </w:r>
          </w:p>
        </w:tc>
        <w:tc>
          <w:tcPr/>
          <w:p>
            <w:pPr>
              <w:pStyle w:val="Compact"/>
            </w:pPr>
            <w:r>
              <w:t xml:space="preserve">~22-24 mois</w:t>
            </w:r>
          </w:p>
        </w:tc>
        <w:tc>
          <w:tcPr/>
          <w:p>
            <w:pPr>
              <w:pStyle w:val="Compact"/>
            </w:pPr>
            <w:r>
              <w:t xml:space="preserve">Compresse le calendrier, accélère le VTC et le BTP</w:t>
            </w:r>
          </w:p>
        </w:tc>
      </w:tr>
    </w:tbl>
    <w:bookmarkEnd w:id="32"/>
    <w:bookmarkStart w:id="33" w:name="X3ba7c3dd3c70aea23865fae0f74858999d5f866"/>
    <w:p>
      <w:pPr>
        <w:pStyle w:val="Heading3"/>
      </w:pPr>
      <w:r>
        <w:t xml:space="preserve">9.3 Emploi des fonds (scénario recommandé, 655 M FCFA)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Liaison &amp; opérations terrain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  <w:tc>
          <w:tcPr/>
          <w:p>
            <w:pPr>
              <w:pStyle w:val="Compact"/>
            </w:pPr>
            <w:r>
              <w:t xml:space="preserve">195 M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&amp; GTM (B2B + acquisition demande)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164 M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Produit &amp; tech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164 M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G&amp;A, finance, légal, conformité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66 M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Fonds de roulement &amp; contingence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66 M F</w:t>
            </w:r>
          </w:p>
        </w:tc>
      </w:tr>
    </w:tbl>
    <w:bookmarkEnd w:id="33"/>
    <w:bookmarkStart w:id="34" w:name="X7573fb0b7e799144dc698ef2cf9361c4547125b"/>
    <w:p>
      <w:pPr>
        <w:pStyle w:val="Heading3"/>
      </w:pPr>
      <w:r>
        <w:t xml:space="preserve">9.4 Jalons débloqués (conditions du Seed)</w:t>
      </w:r>
    </w:p>
    <w:p>
      <w:pPr>
        <w:pStyle w:val="Compact"/>
        <w:numPr>
          <w:ilvl w:val="0"/>
          <w:numId w:val="1006"/>
        </w:numPr>
      </w:pPr>
      <w:r>
        <w:t xml:space="preserve">600+ commandes/jour à M9, 1 500 véhicules sous abonnement à M12.</w:t>
      </w:r>
    </w:p>
    <w:p>
      <w:pPr>
        <w:pStyle w:val="Compact"/>
        <w:numPr>
          <w:ilvl w:val="0"/>
          <w:numId w:val="1006"/>
        </w:numPr>
      </w:pPr>
      <w:r>
        <w:t xml:space="preserve">GMV mensuel &gt; 250 M F, marge brute &gt; 30 %, churn flotte &lt; 5 %/mois à M12.</w:t>
      </w:r>
    </w:p>
    <w:p>
      <w:pPr>
        <w:pStyle w:val="Compact"/>
        <w:numPr>
          <w:ilvl w:val="0"/>
          <w:numId w:val="1006"/>
        </w:numPr>
      </w:pPr>
      <w:r>
        <w:t xml:space="preserve">Partenariat Yango officialisé ; 3 cas clients VTC publiables ; FNE-CI en production.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Seed 4-6 M EUR</w:t>
      </w:r>
      <w:r>
        <w:t xml:space="preserve"> </w:t>
      </w:r>
      <w:r>
        <w:t xml:space="preserve">visé à M15-18 pour l'expansion nationale et sous-régionale.</w:t>
      </w:r>
    </w:p>
    <w:bookmarkEnd w:id="34"/>
    <w:bookmarkStart w:id="35" w:name="X53a8439bcd5433c464d66ed706f38d99ce47ceb"/>
    <w:p>
      <w:pPr>
        <w:pStyle w:val="Heading3"/>
      </w:pPr>
      <w:r>
        <w:t xml:space="preserve">9.5 Investisseurs cibles</w:t>
      </w:r>
    </w:p>
    <w:p>
      <w:pPr>
        <w:pStyle w:val="FirstParagraph"/>
      </w:pPr>
      <w:r>
        <w:t xml:space="preserve">VC pan-africains (Partech, Janngo Capital, Ventures Platform, P1 Ventures, AAIC), family offices ivoiriens, et financements non-dilutifs (Proparco, IFC, GIZ, FCS) pour la formation Liaison (impact emploi jeunes + formalisation de l'informel).</w:t>
      </w:r>
    </w:p>
    <w:bookmarkEnd w:id="35"/>
    <w:bookmarkEnd w:id="36"/>
    <w:bookmarkStart w:id="37" w:name="Xf14564cc3ff9099691e307619d889d62f3aef47"/>
    <w:p>
      <w:pPr>
        <w:pStyle w:val="Heading2"/>
      </w:pPr>
      <w:r>
        <w:t xml:space="preserve">10. Équipe &amp; organisation</w:t>
      </w:r>
    </w:p>
    <w:p>
      <w:pPr>
        <w:pStyle w:val="FirstParagraph"/>
      </w:pPr>
      <w:r>
        <w:t xml:space="preserve">Recrutements prioritaires M0-M3 :</w:t>
      </w:r>
      <w:r>
        <w:t xml:space="preserve"> </w:t>
      </w:r>
      <w:r>
        <w:rPr>
          <w:b/>
          <w:bCs/>
        </w:rPr>
        <w:t xml:space="preserve">Head of Liaison</w:t>
      </w:r>
      <w:r>
        <w:t xml:space="preserve"> </w:t>
      </w:r>
      <w:r>
        <w:t xml:space="preserve">(l'arme stratégique),</w:t>
      </w:r>
      <w:r>
        <w:t xml:space="preserve"> </w:t>
      </w:r>
      <w:r>
        <w:rPr>
          <w:b/>
          <w:bCs/>
        </w:rPr>
        <w:t xml:space="preserve">Head of Sales B2B</w:t>
      </w:r>
      <w:r>
        <w:t xml:space="preserve">,</w:t>
      </w:r>
      <w:r>
        <w:t xml:space="preserve"> </w:t>
      </w:r>
      <w:r>
        <w:rPr>
          <w:b/>
          <w:bCs/>
        </w:rPr>
        <w:t xml:space="preserve">Chief of Staff CEO</w:t>
      </w:r>
      <w:r>
        <w:t xml:space="preserve">,</w:t>
      </w:r>
      <w:r>
        <w:t xml:space="preserve"> </w:t>
      </w:r>
      <w:r>
        <w:rPr>
          <w:b/>
          <w:bCs/>
        </w:rPr>
        <w:t xml:space="preserve">CTO confirmé</w:t>
      </w:r>
      <w:r>
        <w:t xml:space="preserve">. Cible ~25 personnes à M12, ~55 à M24 (tech, commercial flotte, Liaison/ops, support WhatsApp, finance/conformité).</w:t>
      </w:r>
    </w:p>
    <w:bookmarkEnd w:id="37"/>
    <w:bookmarkStart w:id="38" w:name="X763116106ce99293571b5d36c178b2817c42d03"/>
    <w:p>
      <w:pPr>
        <w:pStyle w:val="Heading2"/>
      </w:pPr>
      <w:r>
        <w:t xml:space="preserve">11. Risques majeurs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Réplication du modèle Liaison par un acteur capitalisé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Verrouillage 12 mois, exclusivité partielle top vendeurs, compatibilité des données 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de livraison express prioritaire non tenu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Réseau livreurs dédié, stock tampon, process opérationnel plus prudent que l'engagement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 vendeur / fausse pièce OEM</w:t>
            </w:r>
          </w:p>
        </w:tc>
        <w:tc>
          <w:tcPr/>
          <w:p>
            <w:pPr>
              <w:pStyle w:val="Compact"/>
            </w:pPr>
            <w:r>
              <w:t xml:space="preserve">Critique (marque)</w:t>
            </w:r>
          </w:p>
        </w:tc>
        <w:tc>
          <w:tcPr/>
          <w:p>
            <w:pPr>
              <w:pStyle w:val="Compact"/>
            </w:pPr>
            <w:r>
              <w:t xml:space="preserve">Garantie 100 % remplacement, fonds de garantie, ban immédiat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Régulation DGI hostile à un acteur privé FNE-CI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Briefing institutionnel pré-lancement, posture partenaire de la formalisation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Encaissement à la livraison (impayé, client absent)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Confirmation de commande avant départ du livreur, acompte sur grosses pièces, encaissement cash ou Mobile Money à la remise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supérieur au plan</w:t>
            </w:r>
          </w:p>
        </w:tc>
        <w:tc>
          <w:tcPr/>
          <w:p>
            <w:pPr>
              <w:pStyle w:val="Compact"/>
            </w:pPr>
            <w: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Revue cash mensuelle, jalons Seed clairs, scénario downside runway 18 mois</w:t>
            </w:r>
          </w:p>
        </w:tc>
      </w:tr>
    </w:tbl>
    <w:bookmarkEnd w:id="38"/>
    <w:bookmarkStart w:id="39" w:name="Xe4a44f47ecc4f37765f106d33fccea18b3927c0"/>
    <w:p>
      <w:pPr>
        <w:pStyle w:val="Heading2"/>
      </w:pPr>
      <w:r>
        <w:t xml:space="preserve">12. Pourquoi maintenant, pourquoi Pièces</w:t>
      </w:r>
    </w:p>
    <w:p>
      <w:pPr>
        <w:pStyle w:val="FirstParagraph"/>
      </w:pPr>
      <w:r>
        <w:t xml:space="preserve">Le marché est gigantesque, fragmenté, mal servi.</w:t>
      </w:r>
      <w:r>
        <w:t xml:space="preserve"> </w:t>
      </w:r>
      <w:r>
        <w:rPr>
          <w:b/>
          <w:bCs/>
        </w:rPr>
        <w:t xml:space="preserve">Personne</w:t>
      </w:r>
      <w:r>
        <w:t xml:space="preserve"> </w:t>
      </w:r>
      <w:r>
        <w:t xml:space="preserve">ne combine la marketplace consommateur, la plateforme flotte B2B et la digitalisation des vendeurs de pièces détachées ; personne n'a la conformité FNE-CI native ni la base de compatibilité Côte d'Ivoire que nous construisons transaction par transaction. Ces trois éléments (</w:t>
      </w:r>
      <w:r>
        <w:rPr>
          <w:b/>
          <w:bCs/>
        </w:rPr>
        <w:t xml:space="preserve">demande, offre, conformité</w:t>
      </w:r>
      <w:r>
        <w:t xml:space="preserve">) forment un monopole défendable à 36 mois si l'exécution est tenue.</w:t>
      </w:r>
      <w:r>
        <w:t xml:space="preserve"> </w:t>
      </w:r>
      <w:r>
        <w:rPr>
          <w:b/>
          <w:bCs/>
        </w:rPr>
        <w:t xml:space="preserve">La fenêtre se referme dès qu'un acteur pan-africain capitalisé tente la même combinaison.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Pièces : la pièce qu'il te faut, au juste prix, livrée et garantie. · Document interne confidentiel · Plan d'affaires v1.3 · Juin 2026. Chiffres financiers : projections internes à valider sur données réelles.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2026-07-17T21:35:58Z</dcterms:created>
  <dcterms:modified xsi:type="dcterms:W3CDTF">2026-07-17T21:35:58Z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