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pièces"/>
    <w:p>
      <w:pPr>
        <w:pStyle w:val="Heading1"/>
      </w:pPr>
      <w:r>
        <w:t xml:space="preserve">Pièces</w:t>
      </w:r>
    </w:p>
    <w:bookmarkStart w:id="9" w:name="le-problème"/>
    <w:p>
      <w:pPr>
        <w:pStyle w:val="Heading2"/>
      </w:pPr>
      <w:r>
        <w:t xml:space="preserve">Le problème</w:t>
      </w:r>
    </w:p>
    <w:p>
      <w:pPr>
        <w:pStyle w:val="FirstParagraph"/>
      </w:pPr>
      <w:r>
        <w:t xml:space="preserve">Acheter une pièce auto à Abidjan = un parcours du combattant. Le marché est</w:t>
      </w:r>
      <w:r>
        <w:t xml:space="preserve"> </w:t>
      </w:r>
      <w:r>
        <w:rPr>
          <w:b/>
          <w:bCs/>
        </w:rPr>
        <w:t xml:space="preserve">100 % informel</w:t>
      </w:r>
      <w:r>
        <w:t xml:space="preserve"> </w:t>
      </w:r>
      <w:r>
        <w:t xml:space="preserve">: pas de catalogue, pas de prix affiché, pas de garantie, pas de facture.</w:t>
      </w:r>
    </w:p>
    <w:p>
      <w:pPr>
        <w:pStyle w:val="BodyText"/>
      </w:pPr>
      <w:r>
        <w:rPr>
          <w:b/>
          <w:bCs/>
        </w:rPr>
        <w:t xml:space="preserve">Chaque intermédiaire ajoute sa marge</w:t>
      </w:r>
      <w:r>
        <w:t xml:space="preserve"> </w:t>
      </w:r>
      <w:r>
        <w:t xml:space="preserve">— importateur, grossiste, détaillant, mécanicien : l'acheteur paie l'accumulation, sans jamais voir le vrai prix.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Propriétaire</w:t>
      </w:r>
      <w:r>
        <w:t xml:space="preserve"> </w:t>
      </w:r>
      <w:r>
        <w:t xml:space="preserve">: paie 30 à 60 % trop cher, sans garantie.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Flotte</w:t>
      </w:r>
      <w:r>
        <w:t xml:space="preserve"> </w:t>
      </w:r>
      <w:r>
        <w:t xml:space="preserve">: perd</w:t>
      </w:r>
      <w:r>
        <w:t xml:space="preserve"> </w:t>
      </w:r>
      <w:r>
        <w:rPr>
          <w:b/>
          <w:bCs/>
        </w:rPr>
        <w:t xml:space="preserve">30 000 à 50 000 F/jour</w:t>
      </w:r>
      <w:r>
        <w:t xml:space="preserve"> </w:t>
      </w:r>
      <w:r>
        <w:t xml:space="preserve">par véhicule immobilisé ; budget pièces opaque.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Vendeur</w:t>
      </w:r>
      <w:r>
        <w:t xml:space="preserve"> </w:t>
      </w:r>
      <w:r>
        <w:t xml:space="preserve">: enfermé dans son comptoir, invisible en ligne.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État</w:t>
      </w:r>
      <w:r>
        <w:t xml:space="preserve"> </w:t>
      </w:r>
      <w:r>
        <w:t xml:space="preserve">: ni TVA, ni traçabilité.</w:t>
      </w:r>
    </w:p>
    <w:bookmarkEnd w:id="9"/>
    <w:bookmarkStart w:id="10" w:name="la-solution"/>
    <w:p>
      <w:pPr>
        <w:pStyle w:val="Heading2"/>
      </w:pPr>
      <w:r>
        <w:t xml:space="preserve">La solution</w:t>
      </w:r>
    </w:p>
    <w:p>
      <w:pPr>
        <w:pStyle w:val="FirstParagraph"/>
      </w:pPr>
      <w:r>
        <w:t xml:space="preserve">Trois produits, une seule infrastructure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— le mécanicien identifie, le propriétaire paie en</w:t>
      </w:r>
      <w:r>
        <w:t xml:space="preserve"> </w:t>
      </w:r>
      <w:r>
        <w:rPr>
          <w:b/>
          <w:bCs/>
        </w:rPr>
        <w:t xml:space="preserve">escrow Mobile Money</w:t>
      </w:r>
      <w:r>
        <w:t xml:space="preserve">, le vendeur livre. Prix et condition affichés, garantie, facture.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— pilotage du coût total de possession, détection des véhicules « gouffres », livraison express, conformité fiscale.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Réseau Liaison</w:t>
      </w:r>
      <w:r>
        <w:t xml:space="preserve"> </w:t>
      </w:r>
      <w:r>
        <w:t xml:space="preserve">— des agents terrain digitalisent les vendeurs</w:t>
      </w:r>
      <w:r>
        <w:t xml:space="preserve"> </w:t>
      </w:r>
      <w:r>
        <w:rPr>
          <w:b/>
          <w:bCs/>
        </w:rPr>
        <w:t xml:space="preserve">formels et informels</w:t>
      </w:r>
      <w:r>
        <w:t xml:space="preserve">, de l'importateur en gros au détaillant — même hors ligne.</w:t>
      </w:r>
    </w:p>
    <w:bookmarkEnd w:id="10"/>
    <w:bookmarkStart w:id="11" w:name="le-produit-est-déjà-construit"/>
    <w:p>
      <w:pPr>
        <w:pStyle w:val="Heading2"/>
      </w:pPr>
      <w:r>
        <w:t xml:space="preserve">Le produit est déjà construit</w:t>
      </w:r>
    </w:p>
    <w:p>
      <w:pPr>
        <w:pStyle w:val="Compact"/>
        <w:numPr>
          <w:ilvl w:val="0"/>
          <w:numId w:val="1003"/>
        </w:numPr>
      </w:pPr>
      <w:r>
        <w:t xml:space="preserve">Marketplace,</w:t>
      </w:r>
      <w:r>
        <w:t xml:space="preserve"> </w:t>
      </w:r>
      <w:r>
        <w:rPr>
          <w:b/>
          <w:bCs/>
        </w:rPr>
        <w:t xml:space="preserve">escrow Mobile Money</w:t>
      </w:r>
      <w:r>
        <w:t xml:space="preserve">, garantie, facture — en production.</w:t>
      </w:r>
    </w:p>
    <w:p>
      <w:pPr>
        <w:pStyle w:val="Compact"/>
        <w:numPr>
          <w:ilvl w:val="0"/>
          <w:numId w:val="1003"/>
        </w:numPr>
      </w:pPr>
      <w:r>
        <w:t xml:space="preserve">Recherche pièce par</w:t>
      </w:r>
      <w:r>
        <w:t xml:space="preserve"> </w:t>
      </w:r>
      <w:r>
        <w:rPr>
          <w:b/>
          <w:bCs/>
        </w:rPr>
        <w:t xml:space="preserve">texte / photo IA (Gemini) / VIN</w:t>
      </w:r>
      <w:r>
        <w:t xml:space="preserve">, fitment véhicule CI.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Suite Flotte</w:t>
      </w:r>
      <w:r>
        <w:t xml:space="preserve"> </w:t>
      </w:r>
      <w:r>
        <w:t xml:space="preserve">(Pro 5 000 F · Pro + 10 000 F par véhicule/mois) + calculateur ROI.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 WhatsApp</w:t>
      </w:r>
      <w:r>
        <w:t xml:space="preserve">, portail entreprise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 au catalogue (Jumia, CoinAfrique, global-auto).</w:t>
      </w:r>
    </w:p>
    <w:bookmarkEnd w:id="11"/>
    <w:bookmarkStart w:id="12" w:name="le-marché"/>
    <w:p>
      <w:pPr>
        <w:pStyle w:val="Heading2"/>
      </w:pPr>
      <w:r>
        <w:t xml:space="preserve">Le marché</w:t>
      </w:r>
    </w:p>
    <w:p>
      <w:pPr>
        <w:pStyle w:val="FirstParagraph"/>
      </w:pPr>
      <w:r>
        <w:t xml:space="preserve">Parc national</w:t>
      </w:r>
      <w:r>
        <w:t xml:space="preserve"> </w:t>
      </w:r>
      <w:r>
        <w:rPr>
          <w:b/>
          <w:bCs/>
        </w:rPr>
        <w:t xml:space="preserve">~1,2 M véhicules</w:t>
      </w:r>
      <w:r>
        <w:t xml:space="preserve"> </w:t>
      </w:r>
      <w:r>
        <w:t xml:space="preserve">(Min. Transports, 2022). Secteur auto</w:t>
      </w:r>
      <w:r>
        <w:t xml:space="preserve"> </w:t>
      </w:r>
      <w:r>
        <w:rPr>
          <w:b/>
          <w:bCs/>
        </w:rPr>
        <w:t xml:space="preserve">~400–420 Mds F/an</w:t>
      </w:r>
      <w:r>
        <w:t xml:space="preserve">. À une take rate de 9–12 %, le SOM représente</w:t>
      </w:r>
      <w:r>
        <w:t xml:space="preserve"> </w:t>
      </w:r>
      <w:r>
        <w:rPr>
          <w:b/>
          <w:bCs/>
        </w:rPr>
        <w:t xml:space="preserve">4–6 Mds FCFA de revenu net annuel</w:t>
      </w:r>
      <w:r>
        <w:t xml:space="preserve"> </w:t>
      </w:r>
      <w:r>
        <w:t xml:space="preserve">(~6–10 M USD).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Marché pièces / 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  <w:r>
              <w:t xml:space="preserve"> </w:t>
            </w:r>
            <w:r>
              <w:t xml:space="preserve">— national (pièces seules)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~250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  <w:r>
              <w:t xml:space="preserve"> </w:t>
            </w:r>
            <w:r>
              <w:t xml:space="preserve">— Abidjan adressable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</w:t>
            </w:r>
            <w:r>
              <w:t xml:space="preserve"> </w:t>
            </w:r>
            <w:r>
              <w:t xml:space="preserve">— 5 ans, GMV intermédié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35–50 Mds F</w:t>
            </w:r>
          </w:p>
        </w:tc>
      </w:tr>
    </w:tbl>
    <w:bookmarkEnd w:id="12"/>
    <w:bookmarkStart w:id="13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Uber a quitté la Côte d'Ivoire (sept. 2025)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~25 000 véhicules, **~100 000 courses/jour**, 160+ entreprises de flotte, HQ régional à Abidjan. Un partenaire flotte évident.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Parc qui rajeunit</w:t>
      </w:r>
      <w:r>
        <w:t xml:space="preserve"> </w:t>
      </w:r>
      <w:r>
        <w:t xml:space="preserve">: importations de neuf triplées depuis 2017, restriction de l'âge des véhicules.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Mobile Money massif</w:t>
      </w:r>
      <w:r>
        <w:t xml:space="preserve"> </w:t>
      </w:r>
      <w:r>
        <w:t xml:space="preserve">(Orange Money, MTN, Wave) → l'escrow devient possible.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Formalisation fiscale (FNE-CI)</w:t>
      </w:r>
      <w:r>
        <w:t xml:space="preserve"> </w:t>
      </w:r>
      <w:r>
        <w:t xml:space="preserve">→ fenêtre pour devenir le standard de la facture pièce.</w:t>
      </w:r>
    </w:p>
    <w:bookmarkEnd w:id="13"/>
    <w:bookmarkStart w:id="14" w:name="le-beachhead--le-vtc"/>
    <w:p>
      <w:pPr>
        <w:pStyle w:val="Heading2"/>
      </w:pPr>
      <w:r>
        <w:t xml:space="preserve">Le beachhead : le VTC</w:t>
      </w:r>
    </w:p>
    <w:p>
      <w:pPr>
        <w:pStyle w:val="FirstParagraph"/>
      </w:pPr>
      <w:r>
        <w:t xml:space="preserve">Le VTC ivoirien a explosé :</w:t>
      </w:r>
      <w:r>
        <w:t xml:space="preserve"> </w:t>
      </w:r>
      <w:r>
        <w:rPr>
          <w:b/>
          <w:bCs/>
        </w:rPr>
        <w:t xml:space="preserve">~30 000 véhicules en 2026</w:t>
      </w:r>
      <w:r>
        <w:t xml:space="preserve"> </w:t>
      </w:r>
      <w:r>
        <w:t xml:space="preserve">(vs 5–6k en 2024), Yango ~25 000 à Abidjan.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, pas le plus gros segment :</w:t>
      </w:r>
    </w:p>
    <w:p>
      <w:pPr>
        <w:pStyle w:val="Compact"/>
        <w:numPr>
          <w:ilvl w:val="0"/>
          <w:numId w:val="1005"/>
        </w:numPr>
      </w:pPr>
      <w:r>
        <w:t xml:space="preserve">Un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 → use ses pièces 3× plus vite (</w:t>
      </w:r>
      <w:r>
        <w:rPr>
          <w:b/>
          <w:bCs/>
        </w:rPr>
        <w:t xml:space="preserve">~1,3 M F/an</w:t>
      </w:r>
      <w:r>
        <w:t xml:space="preserve"> </w:t>
      </w:r>
      <w:r>
        <w:t xml:space="preserve">de pièces).</w:t>
      </w:r>
    </w:p>
    <w:p>
      <w:pPr>
        <w:pStyle w:val="Compact"/>
        <w:numPr>
          <w:ilvl w:val="0"/>
          <w:numId w:val="1005"/>
        </w:numPr>
      </w:pPr>
      <w:r>
        <w:t xml:space="preserve">Chaque jour d'immobilisation</w:t>
      </w:r>
      <w:r>
        <w:t xml:space="preserve"> </w:t>
      </w:r>
      <w:r>
        <w:rPr>
          <w:b/>
          <w:bCs/>
        </w:rPr>
        <w:t xml:space="preserve">détruit du revenu</w:t>
      </w:r>
      <w:r>
        <w:t xml:space="preserve"> </w:t>
      </w:r>
      <w:r>
        <w:t xml:space="preserve">(15–30k F/jour) → douleur aiguë et mesurable.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~160 entreprises de flotte</w:t>
      </w:r>
      <w:r>
        <w:t xml:space="preserve"> </w:t>
      </w:r>
      <w:r>
        <w:t xml:space="preserve">Yango = cibles B2B concentrées et immédiates.</w:t>
      </w:r>
    </w:p>
    <w:p>
      <w:pPr>
        <w:pStyle w:val="Compact"/>
        <w:numPr>
          <w:ilvl w:val="0"/>
          <w:numId w:val="1005"/>
        </w:numPr>
      </w:pPr>
      <w:r>
        <w:t xml:space="preserve">Idéal pour prouver le ROI et bâtir la</w:t>
      </w:r>
      <w:r>
        <w:t xml:space="preserve"> </w:t>
      </w:r>
      <w:r>
        <w:rPr>
          <w:b/>
          <w:bCs/>
        </w:rPr>
        <w:t xml:space="preserve">data fitments</w:t>
      </w:r>
      <w:r>
        <w:t xml:space="preserve">, avant d'étendre au parc entier (taxis, gbaka, BTP, corporate).</w:t>
      </w:r>
    </w:p>
    <w:bookmarkEnd w:id="14"/>
    <w:bookmarkStart w:id="15" w:name="modèle-économique"/>
    <w:p>
      <w:pPr>
        <w:pStyle w:val="Heading2"/>
      </w:pPr>
      <w:r>
        <w:t xml:space="preserve">Modèle économique</w:t>
      </w:r>
    </w:p>
    <w:p>
      <w:pPr>
        <w:pStyle w:val="FirstParagraph"/>
      </w:pPr>
      <w:r>
        <w:rPr>
          <w:b/>
          <w:bCs/>
        </w:rPr>
        <w:t xml:space="preserve">Unit economics</w:t>
      </w:r>
      <w:r>
        <w:t xml:space="preserve"> </w:t>
      </w:r>
      <w:r>
        <w:t xml:space="preserve">: revenu net</w:t>
      </w:r>
      <w:r>
        <w:t xml:space="preserve"> </w:t>
      </w:r>
      <w:r>
        <w:rPr>
          <w:b/>
          <w:bCs/>
        </w:rPr>
        <w:t xml:space="preserve">2 560 F/commande</w:t>
      </w:r>
      <w:r>
        <w:t xml:space="preserve"> </w:t>
      </w:r>
      <w:r>
        <w:t xml:space="preserve">· LTV Flotte Pro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LTV/CAC &gt; 4</w:t>
      </w:r>
      <w:r>
        <w:t xml:space="preserve"> </w:t>
      </w:r>
      <w:r>
        <w:t xml:space="preserve">dès M12.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5–10 % côté vendeur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F/véh/mois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F/véh/mois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bookmarkEnd w:id="15"/>
    <w:bookmarkStart w:id="16" w:name="go-to-market--5-mouvements"/>
    <w:p>
      <w:pPr>
        <w:pStyle w:val="Heading2"/>
      </w:pPr>
      <w:r>
        <w:t xml:space="preserve">Go-to-market — 5 mouvements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M0–6</w:t>
      </w:r>
      <w:r>
        <w:t xml:space="preserve"> </w:t>
      </w:r>
      <w:r>
        <w:t xml:space="preserve">: verrouiller Adjamé/Yopougon (20 Liaisons, 300 vendeurs, 350 commandes/jour).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M3–12</w:t>
      </w:r>
      <w:r>
        <w:t xml:space="preserve"> </w:t>
      </w:r>
      <w:r>
        <w:t xml:space="preserve">: prendre le VTC (</w:t>
      </w:r>
      <w:r>
        <w:rPr>
          <w:b/>
          <w:bCs/>
        </w:rPr>
        <w:t xml:space="preserve">partenariat Yango</w:t>
      </w:r>
      <w:r>
        <w:t xml:space="preserve">, flottes indépendantes, 3 cas clients -20 %).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M6–15</w:t>
      </w:r>
      <w:r>
        <w:t xml:space="preserve"> </w:t>
      </w:r>
      <w:r>
        <w:t xml:space="preserve">: devenir le</w:t>
      </w:r>
      <w:r>
        <w:t xml:space="preserve"> </w:t>
      </w:r>
      <w:r>
        <w:rPr>
          <w:b/>
          <w:bCs/>
        </w:rPr>
        <w:t xml:space="preserve">standard FNE-CI</w:t>
      </w:r>
      <w:r>
        <w:t xml:space="preserve"> </w:t>
      </w:r>
      <w:r>
        <w:t xml:space="preserve">(vente aux DAF : « récupérez votre TVA »).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M12–18</w:t>
      </w:r>
      <w:r>
        <w:t xml:space="preserve"> </w:t>
      </w:r>
      <w:r>
        <w:t xml:space="preserve">: étendre BTP / transport collectif / corporate.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M18–24</w:t>
      </w:r>
      <w:r>
        <w:t xml:space="preserve"> </w:t>
      </w:r>
      <w:r>
        <w:t xml:space="preserve">: sortir d'Abidjan (Bouaké, San Pedro) + pilote sous-régional.</w:t>
      </w:r>
    </w:p>
    <w:bookmarkEnd w:id="16"/>
    <w:bookmarkStart w:id="17" w:name="concurrence--douve"/>
    <w:p>
      <w:pPr>
        <w:pStyle w:val="Heading2"/>
      </w:pPr>
      <w:r>
        <w:t xml:space="preserve">Concurrence &amp; douve</w:t>
      </w:r>
    </w:p>
    <w:p>
      <w:pPr>
        <w:pStyle w:val="FirstParagraph"/>
      </w:pPr>
      <w:r>
        <w:t xml:space="preserve">Concurrent réel =</w:t>
      </w:r>
      <w:r>
        <w:t xml:space="preserve"> </w:t>
      </w:r>
      <w:r>
        <w:rPr>
          <w:b/>
          <w:bCs/>
        </w:rPr>
        <w:t xml:space="preserve">magasins + WhatsApp + Excel</w:t>
      </w:r>
      <w:r>
        <w:t xml:space="preserve">. Aucun acteur structuré à l'échelle nationale.</w:t>
      </w:r>
    </w:p>
    <w:p>
      <w:pPr>
        <w:pStyle w:val="BodyText"/>
      </w:pPr>
      <w:r>
        <w:t xml:space="preserve">Notre douve, défendable à 36 mois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Cartographie de la chaîne + réseau Liaison</w:t>
      </w:r>
      <w:r>
        <w:t xml:space="preserve"> </w:t>
      </w:r>
      <w:r>
        <w:t xml:space="preserve">— tous les acteurs (gros → détail, formels &amp; informels) et leurs produits digitalisés, même hors ligne (objectif 80 agents en 12 mois).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fitments Côte d'Ivoire</w:t>
      </w:r>
      <w:r>
        <w:t xml:space="preserve"> </w:t>
      </w:r>
      <w:r>
        <w:t xml:space="preserve">— inattaquable à 100 000 transactions.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Escrow + garantie</w:t>
      </w:r>
      <w:r>
        <w:t xml:space="preserve"> </w:t>
      </w:r>
      <w:r>
        <w:t xml:space="preserve">— confiance dans un marché de méfiance.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FNE-CI natif</w:t>
      </w:r>
      <w:r>
        <w:t xml:space="preserve"> </w:t>
      </w:r>
      <w:r>
        <w:t xml:space="preserve">— verrou réglementaire.</w:t>
      </w:r>
    </w:p>
    <w:bookmarkEnd w:id="17"/>
    <w:bookmarkStart w:id="18" w:name="projections"/>
    <w:p>
      <w:pPr>
        <w:pStyle w:val="Heading2"/>
      </w:pPr>
      <w:r>
        <w:t xml:space="preserve">Projections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Commandes/jour (fin)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abonnés (fin)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bookmarkEnd w:id="18"/>
    <w:bookmarkStart w:id="19" w:name="la-demande"/>
    <w:p>
      <w:pPr>
        <w:pStyle w:val="Heading2"/>
      </w:pPr>
      <w:r>
        <w:t xml:space="preserve">La demande</w:t>
      </w:r>
    </w:p>
    <w:p>
      <w:pPr>
        <w:pStyle w:val="FirstParagraph"/>
      </w:pPr>
      <w:r>
        <w:rPr>
          <w:b/>
          <w:bCs/>
        </w:rPr>
        <w:t xml:space="preserve">Jalons débloqués</w:t>
      </w:r>
      <w:r>
        <w:t xml:space="preserve"> </w:t>
      </w:r>
      <w:r>
        <w:t xml:space="preserve">: 1 500 véhicules abonnés, 600 commandes/jour, GMV &gt; 250 M F/mois, break-even Abidjan à M18 →</w:t>
      </w:r>
      <w:r>
        <w:t xml:space="preserve"> </w:t>
      </w:r>
      <w:r>
        <w:rPr>
          <w:b/>
          <w:bCs/>
        </w:rPr>
        <w:t xml:space="preserve">Série A 4–7 M USD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Emploi des fonds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&amp; GTM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G&amp;A, finance,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bookmarkEnd w:id="19"/>
    <w:bookmarkStart w:id="21" w:name="vision"/>
    <w:p>
      <w:pPr>
        <w:pStyle w:val="Heading2"/>
      </w:pPr>
      <w:r>
        <w:t xml:space="preserve">Vision</w:t>
      </w:r>
    </w:p>
    <w:p>
      <w:pPr>
        <w:pStyle w:val="FirstParagraph"/>
      </w:pPr>
      <w:r>
        <w:t xml:space="preserve">Abidjan d'abord. Puis la Côte d'Ivoire. Puis Dakar, Cotonou, et la sous-région — même modèle, même Mobile Money, même parc.</w:t>
      </w:r>
    </w:p>
    <w:p>
      <w:pPr>
        <w:pStyle w:val="BodyText"/>
      </w:pPr>
      <w:r>
        <w:rPr>
          <w:b/>
          <w:bCs/>
        </w:rPr>
        <w:t xml:space="preserve">Pièces — votre flotte, votre coût, votre contrôle.</w:t>
      </w:r>
    </w:p>
    <w:p>
      <w:pPr>
        <w:pStyle w:val="BodyText"/>
      </w:pPr>
      <w:r>
        <w:rPr>
          <w:i/>
          <w:iCs/>
        </w:rPr>
        <w:t xml:space="preserve">Contact 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fernando.kouame@gmail.com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· pieces.ci · Confidentiel · Juin 2026.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2026-06-07T08:41:30Z</dcterms:created>
  <dcterms:modified xsi:type="dcterms:W3CDTF">2026-06-07T08:41:30Z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