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b0f6f3fc60b0bca2a261b2113225e432ff19c9"/>
    <w:p>
      <w:pPr>
        <w:pStyle w:val="Heading1"/>
      </w:pPr>
      <w:r>
        <w:t xml:space="preserve">Moins de véhicules immobilisés. Plus de courses. Plus de commission.</w:t>
      </w:r>
    </w:p>
    <w:bookmarkStart w:id="9" w:name="lintérêt-aligné"/>
    <w:p>
      <w:pPr>
        <w:pStyle w:val="Heading2"/>
      </w:pPr>
      <w:r>
        <w:t xml:space="preserve">L'intérêt aligné</w:t>
      </w:r>
    </w:p>
    <w:p>
      <w:pPr>
        <w:pStyle w:val="FirstParagraph"/>
      </w:pPr>
      <w:r>
        <w:t xml:space="preserve">Votre revenu est une fraction des courses réalisées. Le facteur qui limite ce volume n'est pas seulement la demande : c'est aussi le</w:t>
      </w:r>
      <w:r>
        <w:t xml:space="preserve"> </w:t>
      </w:r>
      <w:r>
        <w:rPr>
          <w:b/>
          <w:bCs/>
        </w:rPr>
        <w:t xml:space="preserve">nombre de véhicules effectivement disponibles</w:t>
      </w:r>
      <w:r>
        <w:t xml:space="preserve"> </w:t>
      </w:r>
      <w:r>
        <w:t xml:space="preserve">chaque jour. Or, sur une flotte VTC à Abidjan, l'indisponibilité est largement causée par l'entretien et les ruptures de pièces.</w:t>
      </w:r>
    </w:p>
    <w:p>
      <w:pPr>
        <w:pStyle w:val="BodyText"/>
      </w:pPr>
      <w:r>
        <w:t xml:space="preserve">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, soit 3 fois un véhicule particulier. Tous les intervalles d'entretien se compriment d'autant. Quand une plaquette, un amortisseur ou un pneu manque, le véhicule est cloué</w:t>
      </w:r>
      <w:r>
        <w:t xml:space="preserve"> </w:t>
      </w:r>
      <w:r>
        <w:rPr>
          <w:b/>
          <w:bCs/>
        </w:rPr>
        <w:t xml:space="preserve">24 à 48 h</w:t>
      </w:r>
      <w:r>
        <w:t xml:space="preserve"> </w:t>
      </w:r>
      <w:r>
        <w:t xml:space="preserve">— et avec lui, sa contribution à votre GMV.</w:t>
      </w:r>
    </w:p>
    <w:bookmarkEnd w:id="9"/>
    <w:bookmarkStart w:id="10" w:name="le-coût-caché-pour-votre-écosystème"/>
    <w:p>
      <w:pPr>
        <w:pStyle w:val="Heading2"/>
      </w:pPr>
      <w:r>
        <w:t xml:space="preserve">Le coût caché pour votre écosystème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Réalité de la flotte partenaire</w:t>
            </w:r>
          </w:p>
        </w:tc>
        <w:tc>
          <w:tcPr/>
          <w:p>
            <w:pPr>
              <w:pStyle w:val="Compact"/>
            </w:pPr>
            <w:r>
              <w:t xml:space="preserve">Conséquence pour Yango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critique manquante immobilise le véhicule 24–48 h</w:t>
            </w:r>
          </w:p>
        </w:tc>
        <w:tc>
          <w:tcPr/>
          <w:p>
            <w:pPr>
              <w:pStyle w:val="Compact"/>
            </w:pPr>
            <w:r>
              <w:t xml:space="preserve">Courses non réalisées → commission non perçue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Recette journalière d'un chauffeur : 15 000–30 000 FCFA</w:t>
            </w:r>
          </w:p>
        </w:tc>
        <w:tc>
          <w:tcPr/>
          <w:p>
            <w:pPr>
              <w:pStyle w:val="Compact"/>
            </w:pPr>
            <w:r>
              <w:t xml:space="preserve">Chaque jour d'arrêt = base de commission perdue à due 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contrefaites → re-panne sous quelques semaines</w:t>
            </w:r>
          </w:p>
        </w:tc>
        <w:tc>
          <w:tcPr/>
          <w:p>
            <w:pPr>
              <w:pStyle w:val="Compact"/>
            </w:pPr>
            <w:r>
              <w:t xml:space="preserve">Immobilisations répétées, chauffeurs découragés,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« gouffres » non identifiés (5 % du parc, 30 % du budget)</w:t>
            </w:r>
          </w:p>
        </w:tc>
        <w:tc>
          <w:tcPr/>
          <w:p>
            <w:pPr>
              <w:pStyle w:val="Compact"/>
            </w:pPr>
            <w:r>
              <w:t xml:space="preserve">Partenaires qui perdent de l'argent → quittent l'activité</w:t>
            </w:r>
          </w:p>
        </w:tc>
      </w:tr>
    </w:tbl>
    <w:p>
      <w:pPr>
        <w:pStyle w:val="BodyText"/>
      </w:pPr>
      <w:r>
        <w:t xml:space="preserve">Autrement dit : la santé mécanique de la flotte partenaire est</w:t>
      </w:r>
      <w:r>
        <w:t xml:space="preserve"> </w:t>
      </w:r>
      <w:r>
        <w:rPr>
          <w:b/>
          <w:bCs/>
        </w:rPr>
        <w:t xml:space="preserve">un déterminant direct de votre volume de courses</w:t>
      </w:r>
      <w:r>
        <w:t xml:space="preserve">. C'est un levier que personne n'opère aujourd'hui.</w:t>
      </w:r>
    </w:p>
    <w:bookmarkEnd w:id="10"/>
    <w:bookmarkStart w:id="11" w:name="ce-que-pièces-apporte-au-réseau"/>
    <w:p>
      <w:pPr>
        <w:pStyle w:val="Heading2"/>
      </w:pPr>
      <w:r>
        <w:t xml:space="preserve">Ce que Pièces apporte au réseau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Disponibilité 24 h garantie</w:t>
      </w:r>
      <w:r>
        <w:t xml:space="preserve"> </w:t>
      </w:r>
      <w:r>
        <w:t xml:space="preserve">sur les références critiques (filtres, plaquettes, courroies, pneus, huile) via stock tampon dédié — la rupture qui cloue le véhicule disparaît.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sur pièce en stock : le véhicule repart le jour même, pas le surlendemain.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Lutte anti-contrefaçon et garantie intermédiée</w:t>
      </w:r>
      <w:r>
        <w:t xml:space="preserve"> </w:t>
      </w:r>
      <w:r>
        <w:t xml:space="preserve">: des pièces qui durent, donc moins de re-pannes et de réimmobilisations.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Détection des véhicules « gouffres »</w:t>
      </w:r>
      <w:r>
        <w:t xml:space="preserve"> </w:t>
      </w:r>
      <w:r>
        <w:t xml:space="preserve">: on aide vos partenaires à garder leurs flottes rentables — donc actives sur Yango plus longtemps.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Prix transparents, −20 à −30 % sur le poste pièces</w:t>
      </w:r>
      <w:r>
        <w:t xml:space="preserve"> </w:t>
      </w:r>
      <w:r>
        <w:t xml:space="preserve">: des partenaires plus rentables sont des partenaires fidèles.</w:t>
      </w:r>
    </w:p>
    <w:bookmarkEnd w:id="11"/>
    <w:bookmarkStart w:id="12" w:name="ce-que-nous-ne-sommes-pas"/>
    <w:p>
      <w:pPr>
        <w:pStyle w:val="Heading2"/>
      </w:pPr>
      <w:r>
        <w:t xml:space="preserve">Ce que nous ne sommes pas</w:t>
      </w:r>
    </w:p>
    <w:p>
      <w:pPr>
        <w:pStyle w:val="FirstParagraph"/>
      </w:pPr>
      <w:r>
        <w:t xml:space="preserve">Pour lever toute ambiguïté :</w:t>
      </w:r>
      <w:r>
        <w:t xml:space="preserve"> </w:t>
      </w:r>
      <w:r>
        <w:rPr>
          <w:b/>
          <w:bCs/>
        </w:rPr>
        <w:t xml:space="preserve">Pièces n'est pas un concurrent de Yango</w:t>
      </w:r>
      <w:r>
        <w:t xml:space="preserve">, ni un outil de pilotage de chauffeurs ou de recrutement terrain. Nous ne touchons ni à la mise en relation, ni à la commission, ni aux données de courses. Nous opérons exclusivement</w:t>
      </w:r>
      <w:r>
        <w:t xml:space="preserve"> </w:t>
      </w:r>
      <w:r>
        <w:rPr>
          <w:b/>
          <w:bCs/>
        </w:rPr>
        <w:t xml:space="preserve">l'approvisionnement en pièces et l'entretien</w:t>
      </w:r>
      <w:r>
        <w:t xml:space="preserve"> </w:t>
      </w:r>
      <w:r>
        <w:t xml:space="preserve">— une couche qu'aucun acteur de votre écosystème ne couvre aujourd'hui, et qui se branche sans friction sur les outils de gestion de flotte que vos partenaires utilisent déjà.</w:t>
      </w:r>
    </w:p>
    <w:bookmarkEnd w:id="12"/>
    <w:bookmarkStart w:id="13" w:name="trois-formes-de-collaboration-possibles"/>
    <w:p>
      <w:pPr>
        <w:pStyle w:val="Heading2"/>
      </w:pPr>
      <w:r>
        <w:t xml:space="preserve">Trois formes de collaboration possibles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Ce que fait Yango</w:t>
            </w:r>
          </w:p>
        </w:tc>
        <w:tc>
          <w:tcPr/>
          <w:p>
            <w:pPr>
              <w:pStyle w:val="Compact"/>
            </w:pPr>
            <w:r>
              <w:t xml:space="preserve">Bénéfice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Référencement</w:t>
            </w:r>
          </w:p>
        </w:tc>
        <w:tc>
          <w:tcPr/>
          <w:p>
            <w:pPr>
              <w:pStyle w:val="Compact"/>
            </w:pPr>
            <w:r>
              <w:t xml:space="preserve">Recommander Pièces comme solution pièces &amp; entretien à votre réseau partenaire</w:t>
            </w:r>
          </w:p>
        </w:tc>
        <w:tc>
          <w:tcPr/>
          <w:p>
            <w:pPr>
              <w:pStyle w:val="Compact"/>
            </w:pPr>
            <w:r>
              <w:t xml:space="preserve">Effort minimal, gain de disponibilité flotte immédiat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Co-marketing</w:t>
            </w:r>
          </w:p>
        </w:tc>
        <w:tc>
          <w:tcPr/>
          <w:p>
            <w:pPr>
              <w:pStyle w:val="Compact"/>
            </w:pPr>
            <w:r>
              <w:t xml:space="preserve">Offre conjointe « Partenaire Yango » : onboarding et tarif dédiés</w:t>
            </w:r>
          </w:p>
        </w:tc>
        <w:tc>
          <w:tcPr/>
          <w:p>
            <w:pPr>
              <w:pStyle w:val="Compact"/>
            </w:pPr>
            <w:r>
              <w:t xml:space="preserve">Argument de rétention partenaire différenciant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Lien depuis l'espace partenaire vers la commande de pièces Pièces</w:t>
            </w:r>
          </w:p>
        </w:tc>
        <w:tc>
          <w:tcPr/>
          <w:p>
            <w:pPr>
              <w:pStyle w:val="Compact"/>
            </w:pPr>
            <w:r>
              <w:t xml:space="preserve">Parcours fluide, données d'entretien consolidées</w:t>
            </w:r>
          </w:p>
        </w:tc>
      </w:tr>
    </w:tbl>
    <w:bookmarkEnd w:id="13"/>
    <w:bookmarkStart w:id="15" w:name="X69f991c984188b268faff229ec84d17a986a28f"/>
    <w:p>
      <w:pPr>
        <w:pStyle w:val="Heading2"/>
      </w:pPr>
      <w:r>
        <w:t xml:space="preserve">Ce que nous proposons comme prochaine étape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pilote sur 2 à 3 partenaires</w:t>
      </w:r>
      <w:r>
        <w:t xml:space="preserve"> </w:t>
      </w:r>
      <w:r>
        <w:t xml:space="preserve">de votre réseau (flottes de 10–50 véhicules), sur 60 jours.</w:t>
      </w:r>
    </w:p>
    <w:p>
      <w:pPr>
        <w:pStyle w:val="Compact"/>
        <w:numPr>
          <w:ilvl w:val="0"/>
          <w:numId w:val="1002"/>
        </w:numPr>
      </w:pPr>
      <w:r>
        <w:t xml:space="preserve">Mesure de l'</w:t>
      </w:r>
      <w:r>
        <w:rPr>
          <w:b/>
          <w:bCs/>
        </w:rPr>
        <w:t xml:space="preserve">indicateur clé : jours-véhicule d'immobilisation évités</w:t>
      </w:r>
      <w:r>
        <w:t xml:space="preserve">, traduits en courses additionnelles.</w:t>
      </w:r>
    </w:p>
    <w:p>
      <w:pPr>
        <w:pStyle w:val="Compact"/>
        <w:numPr>
          <w:ilvl w:val="0"/>
          <w:numId w:val="1002"/>
        </w:numPr>
      </w:pPr>
      <w:r>
        <w:t xml:space="preserve">Restitution chiffrée conjointe — et décision d'élargir si la mécanique fonctionne.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&amp; solutions flotte · Abidjan, Côte d'Ivoire ·</w:t>
      </w:r>
      <w:r>
        <w:t xml:space="preserve"> </w:t>
      </w:r>
      <w:hyperlink r:id="rId14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Données d'usage VTC issues de l'étude sectorielle Pièces « Coûts d'exploitation VTC en Côte d'Ivoire » (mai 2026), construites à partir de prix de marché publics et d'hypothèses d'usage explicitées. Chiffres indicatifs à valider sur données de flotte réelles.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2026-06-07T06:31:05Z</dcterms:created>
  <dcterms:modified xsi:type="dcterms:W3CDTF">2026-06-07T06:31:05Z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