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ed6bc04cc428fe977a79a594d28fa10c7fdde1"/>
    <w:p>
      <w:pPr>
        <w:pStyle w:val="Heading1"/>
      </w:pPr>
      <w:r>
        <w:t xml:space="preserve">Pièces — l'infrastructure de confiance de la pièce auto en Côte d'Ivoire</w:t>
      </w:r>
    </w:p>
    <w:bookmarkStart w:id="9" w:name="X1f4c035d5ce0a3ab517d490c1a072f2cfffa800"/>
    <w:p>
      <w:pPr>
        <w:pStyle w:val="Heading2"/>
      </w:pPr>
      <w:r>
        <w:t xml:space="preserve">1. Résumé exécutif</w:t>
      </w:r>
    </w:p>
    <w:p>
      <w:pPr>
        <w:pStyle w:val="FirstParagraph"/>
      </w:pPr>
      <w:r>
        <w:rPr>
          <w:b/>
          <w:bCs/>
        </w:rPr>
        <w:t xml:space="preserve">Pièces</w:t>
      </w:r>
      <w:r>
        <w:t xml:space="preserve"> </w:t>
      </w:r>
      <w:r>
        <w:t xml:space="preserve">digitalise l'achat de pièces détachées automobiles en Côte d'Ivoire. La plateforme réunit trois produits sur une seule infrastructure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Marketplace tripartite</w:t>
      </w:r>
      <w:r>
        <w:t xml:space="preserve"> </w:t>
      </w:r>
      <w:r>
        <w:t xml:space="preserve">— le mécanicien identifie la pièce (recherche, photo IA, VIN), le propriétaire paie en Mobile Money via</w:t>
      </w:r>
      <w:r>
        <w:t xml:space="preserve"> </w:t>
      </w:r>
      <w:r>
        <w:rPr>
          <w:b/>
          <w:bCs/>
        </w:rPr>
        <w:t xml:space="preserve">escrow</w:t>
      </w:r>
      <w:r>
        <w:t xml:space="preserve">, le vendeur livre. Prix affichés, condition de la pièce affichée (chip Neuf / Occasion / Ré-usiné / Aftermarket / OEM), garantie, facture.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Suite Flotte (B2B)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Flotte Pro</w:t>
      </w:r>
      <w:r>
        <w:t xml:space="preserve"> </w:t>
      </w:r>
      <w:r>
        <w:t xml:space="preserve">(5 000 F/véh/mois) et</w:t>
      </w:r>
      <w:r>
        <w:t xml:space="preserve"> </w:t>
      </w:r>
      <w:r>
        <w:rPr>
          <w:rStyle w:val="VerbatimChar"/>
        </w:rPr>
        <w:t xml:space="preserve">Flotte Pro +</w:t>
      </w:r>
      <w:r>
        <w:t xml:space="preserve"> </w:t>
      </w:r>
      <w:r>
        <w:t xml:space="preserve">(10 000 F/véh/mois) : pilotage du coût total de possession, détection des véhicules « gouffres », alertes d'entretien, livraison express, facturation consolidée, conformité fiscale.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Programme Liaison</w:t>
      </w:r>
      <w:r>
        <w:t xml:space="preserve"> </w:t>
      </w:r>
      <w:r>
        <w:t xml:space="preserve">— des agents terrain digitalisent les vendeurs informels d'Adjamé et Yopougon (photo + publication du stock), sans exiger d'eux un smartphone. C'est notre douve concurrentielle.</w:t>
      </w:r>
    </w:p>
    <w:p>
      <w:pPr>
        <w:pStyle w:val="FirstParagraph"/>
      </w:pPr>
      <w:r>
        <w:t xml:space="preserve">La plateforme est</w:t>
      </w:r>
      <w:r>
        <w:t xml:space="preserve"> </w:t>
      </w:r>
      <w:r>
        <w:rPr>
          <w:b/>
          <w:bCs/>
        </w:rPr>
        <w:t xml:space="preserve">construite et déployée</w:t>
      </w:r>
      <w:r>
        <w:t xml:space="preserve"> </w:t>
      </w:r>
      <w:r>
        <w:t xml:space="preserve">: marketplace, escrow, dashboard flotte, calculateur ROI, bot WhatsApp, et un catalogue de</w:t>
      </w:r>
      <w:r>
        <w:t xml:space="preserve"> </w:t>
      </w:r>
      <w:r>
        <w:rPr>
          <w:b/>
          <w:bCs/>
        </w:rPr>
        <w:t xml:space="preserve">7 137 annonces</w:t>
      </w:r>
      <w:r>
        <w:t xml:space="preserve"> </w:t>
      </w:r>
      <w:r>
        <w:t xml:space="preserve">déjà ingérées (sources Jumia, CoinAfrique, global-auto). Le portail entreprise est en ligne sur</w:t>
      </w:r>
      <w:r>
        <w:t xml:space="preserve"> </w:t>
      </w:r>
      <w:r>
        <w:rPr>
          <w:rStyle w:val="VerbatimChar"/>
        </w:rPr>
        <w:t xml:space="preserve">flotte.pieces.ci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 demande</w:t>
      </w:r>
      <w:r>
        <w:t xml:space="preserve"> </w:t>
      </w:r>
      <w:r>
        <w:t xml:space="preserve">: nous levons un tour</w:t>
      </w:r>
      <w:r>
        <w:t xml:space="preserve"> </w:t>
      </w:r>
      <w:r>
        <w:rPr>
          <w:b/>
          <w:bCs/>
        </w:rPr>
        <w:t xml:space="preserve">Seed de ~1,5 M USD (≈ 900 M FCFA)</w:t>
      </w:r>
      <w:r>
        <w:t xml:space="preserve"> </w:t>
      </w:r>
      <w:r>
        <w:t xml:space="preserve">pour financer 18–24 mois d'exécution — verrouiller Adjamé, prendre la verticale VTC via un partenariat Yango, et atteindre les jalons d'une Série A.</w:t>
      </w:r>
    </w:p>
    <w:bookmarkEnd w:id="9"/>
    <w:bookmarkStart w:id="10" w:name="Xfdb0fa10b15b4c31e7d8ea259c78ddd75f56dc0"/>
    <w:p>
      <w:pPr>
        <w:pStyle w:val="Heading2"/>
      </w:pPr>
      <w:r>
        <w:t xml:space="preserve">2. Le problème</w:t>
      </w:r>
    </w:p>
    <w:p>
      <w:pPr>
        <w:pStyle w:val="FirstParagraph"/>
      </w:pPr>
      <w:r>
        <w:t xml:space="preserve">À Abidjan, acheter une pièce auto fiable, au bon prix, livrée dans la journée, est un parcours du combattant. Le marché est</w:t>
      </w:r>
      <w:r>
        <w:t xml:space="preserve"> </w:t>
      </w:r>
      <w:r>
        <w:rPr>
          <w:b/>
          <w:bCs/>
        </w:rPr>
        <w:t xml:space="preserve">100 % informel</w:t>
      </w:r>
      <w:r>
        <w:t xml:space="preserve"> </w:t>
      </w:r>
      <w:r>
        <w:t xml:space="preserve">: des milliers de vendeurs (cantines d'Adjamé, Yopougon, Marcory) vendent sans catalogue, sans prix affiché, sans garantie, sans facture, sans traçabilité.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mécanicien</w:t>
      </w:r>
      <w:r>
        <w:t xml:space="preserve"> </w:t>
      </w:r>
      <w:r>
        <w:t xml:space="preserve">perd 2 à 4 heures par pièce à faire le tour des cantines.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propriétaire</w:t>
      </w:r>
      <w:r>
        <w:t xml:space="preserve"> </w:t>
      </w:r>
      <w:r>
        <w:t xml:space="preserve">paie 30 à 60 % trop cher, faute de référence de prix, et n'a aucune garantie.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gestionnaire de flotte</w:t>
      </w:r>
      <w:r>
        <w:t xml:space="preserve"> </w:t>
      </w:r>
      <w:r>
        <w:t xml:space="preserve">perd</w:t>
      </w:r>
      <w:r>
        <w:t xml:space="preserve"> </w:t>
      </w:r>
      <w:r>
        <w:rPr>
          <w:b/>
          <w:bCs/>
        </w:rPr>
        <w:t xml:space="preserve">30 000 à 50 000 FCFA par jour et par véhicule immobilisé</w:t>
      </w:r>
      <w:r>
        <w:t xml:space="preserve">, et ne sait pas où part son budget pièces.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vendeur informel</w:t>
      </w:r>
      <w:r>
        <w:t xml:space="preserve"> </w:t>
      </w:r>
      <w:r>
        <w:t xml:space="preserve">n'a aucun moyen de toucher une clientèle au-delà de sa cantine.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L'État</w:t>
      </w:r>
      <w:r>
        <w:t xml:space="preserve"> </w:t>
      </w:r>
      <w:r>
        <w:t xml:space="preserve">ne perçoit ni TVA ni traçabilité sur un pan entier de l'économie.</w:t>
      </w:r>
    </w:p>
    <w:bookmarkEnd w:id="10"/>
    <w:bookmarkStart w:id="11" w:name="X461843f0f9297dc0bf659561dbfb94318be452b"/>
    <w:p>
      <w:pPr>
        <w:pStyle w:val="Heading2"/>
      </w:pPr>
      <w:r>
        <w:t xml:space="preserve">3. La solution &amp; le produit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Brique</w:t>
            </w:r>
          </w:p>
        </w:tc>
        <w:tc>
          <w:tcPr/>
          <w:p>
            <w:pPr>
              <w:pStyle w:val="Compact"/>
            </w:pPr>
            <w:r>
              <w:t xml:space="preserve">Ce qu'elle résout</w:t>
            </w:r>
          </w:p>
        </w:tc>
        <w:tc>
          <w:tcPr/>
          <w:p>
            <w:pPr>
              <w:pStyle w:val="Compac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Marketplace + escrow Mobile Money</w:t>
            </w:r>
          </w:p>
        </w:tc>
        <w:tc>
          <w:tcPr/>
          <w:p>
            <w:pPr>
              <w:pStyle w:val="Compact"/>
            </w:pPr>
            <w:r>
              <w:t xml:space="preserve">Confiance, prix transparent, garantie, facture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Recherche pièce (texte / photo IA Gemini / VIN)</w:t>
            </w:r>
          </w:p>
        </w:tc>
        <w:tc>
          <w:tcPr/>
          <w:p>
            <w:pPr>
              <w:pStyle w:val="Compact"/>
            </w:pPr>
            <w:r>
              <w:t xml:space="preserve">Identification fiable, fitment véhicule CI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Suite Flotte (Pro / Pro +)</w:t>
            </w:r>
          </w:p>
        </w:tc>
        <w:tc>
          <w:tcPr/>
          <w:p>
            <w:pPr>
              <w:pStyle w:val="Compact"/>
            </w:pPr>
            <w:r>
              <w:t xml:space="preserve">Pilotage coût, alertes, livraison express, conformité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Calculateur ROI flotte</w:t>
            </w:r>
          </w:p>
        </w:tc>
        <w:tc>
          <w:tcPr/>
          <w:p>
            <w:pPr>
              <w:pStyle w:val="Compact"/>
            </w:pPr>
            <w:r>
              <w:t xml:space="preserve">Preuve chiffrée à la vente B2B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 WhatsApp</w:t>
            </w:r>
          </w:p>
        </w:tc>
        <w:tc>
          <w:tcPr/>
          <w:p>
            <w:pPr>
              <w:pStyle w:val="Compact"/>
            </w:pPr>
            <w:r>
              <w:t xml:space="preserve">Canal d'entrée n°1 pour non-équipés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Programme &amp; app Liaison</w:t>
            </w:r>
          </w:p>
        </w:tc>
        <w:tc>
          <w:tcPr/>
          <w:p>
            <w:pPr>
              <w:pStyle w:val="Compact"/>
            </w:pPr>
            <w:r>
              <w:t xml:space="preserve">Onboarding vendeurs informels à grande échelle</w:t>
            </w:r>
          </w:p>
        </w:tc>
        <w:tc>
          <w:tcPr/>
          <w:p>
            <w:pPr>
              <w:pStyle w:val="Compact"/>
            </w:pPr>
            <w:r>
              <w:t xml:space="preserve">V1, à industrialiser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Facturation normalisée FNE-CI / DGI</w:t>
            </w:r>
          </w:p>
        </w:tc>
        <w:tc>
          <w:tcPr/>
          <w:p>
            <w:pPr>
              <w:pStyle w:val="Compact"/>
            </w:pPr>
            <w:r>
              <w:t xml:space="preserve">Verrou réglementaire, récupération TVA flottes</w:t>
            </w:r>
          </w:p>
        </w:tc>
        <w:tc>
          <w:tcPr/>
          <w:p>
            <w:pPr>
              <w:pStyle w:val="Compact"/>
            </w:pPr>
            <w:r>
              <w:t xml:space="preserve">Roadmap P1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 non-négociables produit</w:t>
      </w:r>
      <w:r>
        <w:t xml:space="preserve"> </w:t>
      </w:r>
      <w:r>
        <w:t xml:space="preserve">: chips de condition partout (jamais en gris), breakdown de prix explicite avant paiement, tout en français, devise FCFA.</w:t>
      </w:r>
    </w:p>
    <w:bookmarkEnd w:id="11"/>
    <w:bookmarkStart w:id="15" w:name="X6951ad93043e47a813837d5552068bb4799b175"/>
    <w:p>
      <w:pPr>
        <w:pStyle w:val="Heading2"/>
      </w:pPr>
      <w:r>
        <w:t xml:space="preserve">4. Le marché</w:t>
      </w:r>
    </w:p>
    <w:bookmarkStart w:id="12" w:name="X6823640f2b0d1c2ae562bbda8551d4e58cd20c7"/>
    <w:p>
      <w:pPr>
        <w:pStyle w:val="Heading3"/>
      </w:pPr>
      <w:r>
        <w:t xml:space="preserve">4.1 Dimensionnement (triangulation publique + bottom-up)</w:t>
      </w:r>
    </w:p>
    <w:p>
      <w:pPr>
        <w:pStyle w:val="FirstParagraph"/>
      </w:pPr>
      <w:r>
        <w:t xml:space="preserve">Le parc automobile national est estimé à</w:t>
      </w:r>
      <w:r>
        <w:t xml:space="preserve"> </w:t>
      </w:r>
      <w:r>
        <w:rPr>
          <w:b/>
          <w:bCs/>
        </w:rPr>
        <w:t xml:space="preserve">~1,2 million de véhicules</w:t>
      </w:r>
      <w:r>
        <w:t xml:space="preserve"> </w:t>
      </w:r>
      <w:r>
        <w:t xml:space="preserve">(Ministère des Transports, 2022), dont la majorité circule dans le Grand Abidjan. Le chiffre d'affaires du secteur automobile ivoirien est de</w:t>
      </w:r>
      <w:r>
        <w:t xml:space="preserve"> </w:t>
      </w:r>
      <w:r>
        <w:rPr>
          <w:b/>
          <w:bCs/>
        </w:rPr>
        <w:t xml:space="preserve">~400–420 Mds FCFA/an</w:t>
      </w:r>
      <w:r>
        <w:t xml:space="preserve">. Les importations de véhicules neufs ont triplé depuis 2017 (≈ 27 000 en 2024, objectif ~50 000 en 2025), rajeunissant le parc et augmentant la consommation de pièces de qualité.</w:t>
      </w:r>
    </w:p>
    <w:p>
      <w:pPr>
        <w:pStyle w:val="BodyText"/>
      </w:pPr>
      <w:r>
        <w:t xml:space="preserve">Estimation bottom-up du marché de la</w:t>
      </w:r>
      <w:r>
        <w:t xml:space="preserve"> </w:t>
      </w:r>
      <w:r>
        <w:rPr>
          <w:b/>
          <w:bCs/>
        </w:rPr>
        <w:t xml:space="preserve">pièce détachée seule</w:t>
      </w:r>
      <w:r>
        <w:t xml:space="preserve"> </w:t>
      </w:r>
      <w:r>
        <w:t xml:space="preserve">(parc × dépense annuelle moyenne)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Segment</w:t>
            </w:r>
          </w:p>
        </w:tc>
        <w:tc>
          <w:tcPr/>
          <w:p>
            <w:pPr>
              <w:pStyle w:val="Compact"/>
            </w:pPr>
            <w:r>
              <w:t xml:space="preserve">Volume (Abidjan)</w:t>
            </w:r>
          </w:p>
        </w:tc>
        <w:tc>
          <w:tcPr/>
          <w:p>
            <w:pPr>
              <w:pStyle w:val="Compact"/>
            </w:pPr>
            <w:r>
              <w:t xml:space="preserve">Dépense pièces/véh/an</w:t>
            </w:r>
          </w:p>
        </w:tc>
        <w:tc>
          <w:tcPr/>
          <w:p>
            <w:pPr>
              <w:pStyle w:val="Compact"/>
            </w:pPr>
            <w:r>
              <w:t xml:space="preserve">Marché/an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 particulier</w:t>
            </w:r>
          </w:p>
        </w:tc>
        <w:tc>
          <w:tcPr/>
          <w:p>
            <w:pPr>
              <w:pStyle w:val="Compact"/>
            </w:pPr>
            <w:r>
              <w:t xml:space="preserve">~600 000</w:t>
            </w:r>
          </w:p>
        </w:tc>
        <w:tc>
          <w:tcPr/>
          <w:p>
            <w:pPr>
              <w:pStyle w:val="Compact"/>
            </w:pPr>
            <w:r>
              <w:t xml:space="preserve">180 000 F</w:t>
            </w:r>
          </w:p>
        </w:tc>
        <w:tc>
          <w:tcPr/>
          <w:p>
            <w:pPr>
              <w:pStyle w:val="Compact"/>
            </w:pPr>
            <w:r>
              <w:t xml:space="preserve">~108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VTC (Yango ~25 000, Heetch, inDrive, indép.)</w:t>
            </w:r>
          </w:p>
        </w:tc>
        <w:tc>
          <w:tcPr/>
          <w:p>
            <w:pPr>
              <w:pStyle w:val="Compact"/>
            </w:pPr>
            <w:r>
              <w:t xml:space="preserve">~25 000–30 000</w:t>
            </w:r>
          </w:p>
        </w:tc>
        <w:tc>
          <w:tcPr/>
          <w:p>
            <w:pPr>
              <w:pStyle w:val="Compact"/>
            </w:pPr>
            <w:r>
              <w:t xml:space="preserve">1 300 000 F</w:t>
            </w:r>
          </w:p>
        </w:tc>
        <w:tc>
          <w:tcPr/>
          <w:p>
            <w:pPr>
              <w:pStyle w:val="Compact"/>
            </w:pPr>
            <w:r>
              <w:t xml:space="preserve">~36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Taxis communaux / woro-woro</w:t>
            </w:r>
          </w:p>
        </w:tc>
        <w:tc>
          <w:tcPr/>
          <w:p>
            <w:pPr>
              <w:pStyle w:val="Compact"/>
            </w:pPr>
            <w:r>
              <w:t xml:space="preserve">~18 000</w:t>
            </w:r>
          </w:p>
        </w:tc>
        <w:tc>
          <w:tcPr/>
          <w:p>
            <w:pPr>
              <w:pStyle w:val="Compact"/>
            </w:pPr>
            <w:r>
              <w:t xml:space="preserve">350 000 F</w:t>
            </w:r>
          </w:p>
        </w:tc>
        <w:tc>
          <w:tcPr/>
          <w:p>
            <w:pPr>
              <w:pStyle w:val="Compact"/>
            </w:pPr>
            <w:r>
              <w:t xml:space="preserve">~6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 collectif (gbaka, minicars)</w:t>
            </w:r>
          </w:p>
        </w:tc>
        <w:tc>
          <w:tcPr/>
          <w:p>
            <w:pPr>
              <w:pStyle w:val="Compact"/>
            </w:pPr>
            <w:r>
              <w:t xml:space="preserve">~12 000</w:t>
            </w:r>
          </w:p>
        </w:tc>
        <w:tc>
          <w:tcPr/>
          <w:p>
            <w:pPr>
              <w:pStyle w:val="Compact"/>
            </w:pPr>
            <w:r>
              <w:t xml:space="preserve">600 000 F</w:t>
            </w:r>
          </w:p>
        </w:tc>
        <w:tc>
          <w:tcPr/>
          <w:p>
            <w:pPr>
              <w:pStyle w:val="Compact"/>
            </w:pPr>
            <w:r>
              <w:t xml:space="preserve">~7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BTP / engins légers</w:t>
            </w:r>
          </w:p>
        </w:tc>
        <w:tc>
          <w:tcPr/>
          <w:p>
            <w:pPr>
              <w:pStyle w:val="Compact"/>
            </w:pPr>
            <w:r>
              <w:t xml:space="preserve">~8 000</w:t>
            </w:r>
          </w:p>
        </w:tc>
        <w:tc>
          <w:tcPr/>
          <w:p>
            <w:pPr>
              <w:pStyle w:val="Compact"/>
            </w:pPr>
            <w:r>
              <w:t xml:space="preserve">1 200 000 F</w:t>
            </w:r>
          </w:p>
        </w:tc>
        <w:tc>
          <w:tcPr/>
          <w:p>
            <w:pPr>
              <w:pStyle w:val="Compact"/>
            </w:pPr>
            <w:r>
              <w:t xml:space="preserve">~10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Flottes corporate (banques, telco, distrib.)</w:t>
            </w:r>
          </w:p>
        </w:tc>
        <w:tc>
          <w:tcPr/>
          <w:p>
            <w:pPr>
              <w:pStyle w:val="Compact"/>
            </w:pPr>
            <w:r>
              <w:t xml:space="preserve">~15 000</w:t>
            </w:r>
          </w:p>
        </w:tc>
        <w:tc>
          <w:tcPr/>
          <w:p>
            <w:pPr>
              <w:pStyle w:val="Compact"/>
            </w:pPr>
            <w:r>
              <w:t xml:space="preserve">350 000 F</w:t>
            </w:r>
          </w:p>
        </w:tc>
        <w:tc>
          <w:tcPr/>
          <w:p>
            <w:pPr>
              <w:pStyle w:val="Compact"/>
            </w:pPr>
            <w:r>
              <w:t xml:space="preserve">~5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Abidjan adressable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~172 Mds F/an</w:t>
            </w:r>
          </w:p>
        </w:tc>
      </w:tr>
    </w:tbl>
    <w:p>
      <w:pPr>
        <w:pStyle w:val="BodyText"/>
      </w:pPr>
      <w:r>
        <w:t xml:space="preserve">En ajoutant Bouaké, San Pedro, Yamoussoukro, Korhogo →</w:t>
      </w:r>
      <w:r>
        <w:t xml:space="preserve"> </w:t>
      </w:r>
      <w:r>
        <w:rPr>
          <w:b/>
          <w:bCs/>
        </w:rPr>
        <w:t xml:space="preserve">marché national ~250 Mds FCFA/an</w:t>
      </w:r>
      <w:r>
        <w:t xml:space="preserve"> </w:t>
      </w:r>
      <w:r>
        <w:t xml:space="preserve">sur la pièce seule (le double avec la main-d'œuvre).</w:t>
      </w:r>
    </w:p>
    <w:bookmarkEnd w:id="12"/>
    <w:bookmarkStart w:id="13" w:name="Xfe3cec51e22328401e7b8cc39de34326e4da064"/>
    <w:p>
      <w:pPr>
        <w:pStyle w:val="Heading3"/>
      </w:pPr>
      <w:r>
        <w:t xml:space="preserve">4.2 Le VTC : le meilleur point d'entrée</w:t>
      </w:r>
    </w:p>
    <w:p>
      <w:pPr>
        <w:pStyle w:val="FirstParagraph"/>
      </w:pPr>
      <w:r>
        <w:t xml:space="preserve">Le secteur a explosé : de</w:t>
      </w:r>
      <w:r>
        <w:t xml:space="preserve"> </w:t>
      </w:r>
      <w:r>
        <w:rPr>
          <w:b/>
          <w:bCs/>
        </w:rPr>
        <w:t xml:space="preserve">5 000–6 000 chauffeurs en 2024</w:t>
      </w:r>
      <w:r>
        <w:t xml:space="preserve"> </w:t>
      </w:r>
      <w:r>
        <w:t xml:space="preserve">à</w:t>
      </w:r>
      <w:r>
        <w:t xml:space="preserve"> </w:t>
      </w:r>
      <w:r>
        <w:rPr>
          <w:b/>
          <w:bCs/>
        </w:rPr>
        <w:t xml:space="preserve">~30 000 véhicules VTC en activité début 2026</w:t>
      </w:r>
      <w:r>
        <w:t xml:space="preserve"> </w:t>
      </w:r>
      <w:r>
        <w:t xml:space="preserve">au niveau national (estimation Déclic Car), et plus de 20 000 emplois créés.</w:t>
      </w:r>
      <w:r>
        <w:t xml:space="preserve"> </w:t>
      </w:r>
      <w:r>
        <w:rPr>
          <w:b/>
          <w:bCs/>
        </w:rPr>
        <w:t xml:space="preserve">Uber a quitté la Côte d'Ivoire le 25 septembre 2025</w:t>
      </w:r>
      <w:r>
        <w:t xml:space="preserve">, laissant</w:t>
      </w:r>
      <w:r>
        <w:t xml:space="preserve"> </w:t>
      </w:r>
      <w:r>
        <w:rPr>
          <w:b/>
          <w:bCs/>
        </w:rPr>
        <w:t xml:space="preserve">Yango ultra-dominant</w:t>
      </w:r>
      <w:r>
        <w:t xml:space="preserve"> </w:t>
      </w:r>
      <w:r>
        <w:t xml:space="preserve">: la plateforme revendique</w:t>
      </w:r>
      <w:r>
        <w:t xml:space="preserve"> </w:t>
      </w:r>
      <w:r>
        <w:rPr>
          <w:b/>
          <w:bCs/>
        </w:rPr>
        <w:t xml:space="preserve">~25 000 véhicules à Abidjan, ~100 000 courses par jour, et plus de 160 entreprises de flotte</w:t>
      </w:r>
      <w:r>
        <w:t xml:space="preserve"> </w:t>
      </w:r>
      <w:r>
        <w:t xml:space="preserve">créées dans son sillage (bureau régional Afrique de l'Ouest ouvert à Abidjan en juillet 2025). Heetch et inDrive complètent le marché.</w:t>
      </w:r>
    </w:p>
    <w:p>
      <w:pPr>
        <w:pStyle w:val="BodyText"/>
      </w:pPr>
      <w:r>
        <w:t xml:space="preserve">La demande de mobilité est massive —</w:t>
      </w:r>
      <w:r>
        <w:t xml:space="preserve"> </w:t>
      </w:r>
      <w:r>
        <w:rPr>
          <w:b/>
          <w:bCs/>
        </w:rPr>
        <w:t xml:space="preserve">~4 milliards FCFA dépensés par jour en déplacements à Abidjan</w:t>
      </w:r>
      <w:r>
        <w:t xml:space="preserve"> </w:t>
      </w:r>
      <w:r>
        <w:t xml:space="preserve">— et Yango recrute en continu : le marché est tiré par la demande, pas saturé côté offre.</w:t>
      </w:r>
    </w:p>
    <w:p>
      <w:pPr>
        <w:pStyle w:val="BodyText"/>
      </w:pPr>
      <w:r>
        <w:t xml:space="preserve">Le VTC n'est pas le plus gros segment du parc, mais c'est</w:t>
      </w:r>
      <w:r>
        <w:t xml:space="preserve"> </w:t>
      </w:r>
      <w:r>
        <w:rPr>
          <w:b/>
          <w:bCs/>
        </w:rPr>
        <w:t xml:space="preserve">le meilleur point d'entrée</w:t>
      </w:r>
      <w:r>
        <w:t xml:space="preserve"> </w:t>
      </w:r>
      <w:r>
        <w:t xml:space="preserve">: un véhicule VTC roule</w:t>
      </w:r>
      <w:r>
        <w:t xml:space="preserve"> </w:t>
      </w:r>
      <w:r>
        <w:rPr>
          <w:b/>
          <w:bCs/>
        </w:rPr>
        <w:t xml:space="preserve">~44 000 km/an</w:t>
      </w:r>
      <w:r>
        <w:t xml:space="preserve"> </w:t>
      </w:r>
      <w:r>
        <w:t xml:space="preserve">(3× un particulier), use ses pièces 3× plus vite (dépense pièces</w:t>
      </w:r>
      <w:r>
        <w:t xml:space="preserve"> </w:t>
      </w:r>
      <w:r>
        <w:rPr>
          <w:b/>
          <w:bCs/>
        </w:rPr>
        <w:t xml:space="preserve">~1,3 M FCFA/véh/an</w:t>
      </w:r>
      <w:r>
        <w:t xml:space="preserve">), et chaque jour d'immobilisation détruit directement du revenu (15 000–30 000 F/jour). Douleur aiguë, récurrente, mesurable — idéale pour prouver le ROI, bâtir les cas clients et la base de données fitments, avant d'étendre au parc entier.</w:t>
      </w:r>
      <w:r>
        <w:t xml:space="preserve"> </w:t>
      </w:r>
      <w:r>
        <w:rPr>
          <w:b/>
          <w:bCs/>
        </w:rPr>
        <w:t xml:space="preserve">Les ~160 entreprises de flotte du réseau Yango sont des cibles B2B concentrées et immédiatement adressables.</w:t>
      </w:r>
    </w:p>
    <w:bookmarkEnd w:id="13"/>
    <w:bookmarkStart w:id="14" w:name="X9e3d0f1c7d27a43b68166fbc9afa5e9cc96bf4a"/>
    <w:p>
      <w:pPr>
        <w:pStyle w:val="Heading3"/>
      </w:pPr>
      <w:r>
        <w:t xml:space="preserve">4.3 Dynamique</w:t>
      </w:r>
    </w:p>
    <w:p>
      <w:pPr>
        <w:pStyle w:val="FirstParagraph"/>
      </w:pPr>
      <w:r>
        <w:t xml:space="preserve">Restriction de l'âge des véhicules importés, rajeunissement du parc, montée du Mobile Money (Orange Money, MTN, Wave), formalisation fiscale (FNE-CI) : tous les vents portent vers une digitalisation de l'après-vente automobile. La fenêtre est ouverte</w:t>
      </w:r>
      <w:r>
        <w:t xml:space="preserve"> </w:t>
      </w:r>
      <w:r>
        <w:rPr>
          <w:b/>
          <w:bCs/>
        </w:rPr>
        <w:t xml:space="preserve">maintenant</w:t>
      </w:r>
      <w:r>
        <w:t xml:space="preserve">.</w:t>
      </w:r>
    </w:p>
    <w:bookmarkEnd w:id="14"/>
    <w:bookmarkEnd w:id="15"/>
    <w:bookmarkStart w:id="16" w:name="Xfbb8c32b584df6b04ab55d623467c91a6c3eeeb"/>
    <w:p>
      <w:pPr>
        <w:pStyle w:val="Heading2"/>
      </w:pPr>
      <w:r>
        <w:t xml:space="preserve">5. Concurrence &amp; douve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Acteur</w:t>
            </w:r>
          </w:p>
        </w:tc>
        <w:tc>
          <w:tcPr/>
          <w:p>
            <w:pPr>
              <w:pStyle w:val="Compact"/>
            </w:pPr>
            <w:r>
              <w:t xml:space="preserve">Menace</w:t>
            </w:r>
          </w:p>
        </w:tc>
        <w:tc>
          <w:tcPr/>
          <w:p>
            <w:pPr>
              <w:pStyle w:val="Compact"/>
            </w:pPr>
            <w:r>
              <w:t xml:space="preserve">Notre réponse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Cantines + WhatsApp + Excel</w:t>
            </w:r>
          </w:p>
        </w:tc>
        <w:tc>
          <w:tcPr/>
          <w:p>
            <w:pPr>
              <w:pStyle w:val="Compact"/>
            </w:pPr>
            <w:r>
              <w:t xml:space="preserve">Le vrai concurrent (90 % des flux)</w:t>
            </w:r>
          </w:p>
        </w:tc>
        <w:tc>
          <w:tcPr/>
          <w:p>
            <w:pPr>
              <w:pStyle w:val="Compact"/>
            </w:pPr>
            <w:r>
              <w:t xml:space="preserve">Rendre ce stack obsolète sans rupture de comportement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global-auto.online</w:t>
            </w:r>
          </w:p>
        </w:tc>
        <w:tc>
          <w:tcPr/>
          <w:p>
            <w:pPr>
              <w:pStyle w:val="Compact"/>
            </w:pPr>
            <w:r>
              <w:t xml:space="preserve">Seul catalogue web structuré</w:t>
            </w:r>
          </w:p>
        </w:tc>
        <w:tc>
          <w:tcPr/>
          <w:p>
            <w:pPr>
              <w:pStyle w:val="Compact"/>
            </w:pPr>
            <w:r>
              <w:t xml:space="preserve">Catalogue miroité (veille prix permanente) ; ils ne voient pas nos prix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Jumia / Glovo / Yango Tech</w:t>
            </w:r>
          </w:p>
        </w:tc>
        <w:tc>
          <w:tcPr/>
          <w:p>
            <w:pPr>
              <w:pStyle w:val="Compact"/>
            </w:pPr>
            <w:r>
              <w:t xml:space="preserve">Capital, pourraient acquérir à 24–36 mois</w:t>
            </w:r>
          </w:p>
        </w:tc>
        <w:tc>
          <w:tcPr/>
          <w:p>
            <w:pPr>
              <w:pStyle w:val="Compact"/>
            </w:pPr>
            <w:r>
              <w:t xml:space="preserve">Avance terrain + data fitments à industrialiser vite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FleetOps (gestion partenaires Yango)</w:t>
            </w:r>
          </w:p>
        </w:tc>
        <w:tc>
          <w:tcPr/>
          <w:p>
            <w:pPr>
              <w:pStyle w:val="Compact"/>
            </w:pPr>
            <w:r>
              <w:t xml:space="preserve">Gère chauffeurs/loueurs (39 000+ suivis), pas le coût pièces</w:t>
            </w:r>
          </w:p>
        </w:tc>
        <w:tc>
          <w:tcPr/>
          <w:p>
            <w:pPr>
              <w:pStyle w:val="Compact"/>
            </w:pPr>
            <w:r>
              <w:t xml:space="preserve">Partenaire d'intégration potentiel, pas concurrent sur la pièce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Outils fleet européens (Fleetio, Geotab)</w:t>
            </w:r>
          </w:p>
        </w:tc>
        <w:tc>
          <w:tcPr/>
          <w:p>
            <w:pPr>
              <w:pStyle w:val="Compact"/>
            </w:pPr>
            <w:r>
              <w:t xml:space="preserve">Génériques, non localisés</w:t>
            </w:r>
          </w:p>
        </w:tc>
        <w:tc>
          <w:tcPr/>
          <w:p>
            <w:pPr>
              <w:pStyle w:val="Compact"/>
            </w:pPr>
            <w:r>
              <w:t xml:space="preserve">FCFA, fournisseurs CI, FNE-CI natif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Notre douve, cumulée et défendable à 36 mois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 réseau Liaison</w:t>
      </w:r>
      <w:r>
        <w:t xml:space="preserve"> </w:t>
      </w:r>
      <w:r>
        <w:t xml:space="preserve">— agents terrain Adjamé/Yopougon (objectif : 80 sous 12 mois).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data fitments Côte d'Ivoire</w:t>
      </w:r>
      <w:r>
        <w:t xml:space="preserve"> </w:t>
      </w:r>
      <w:r>
        <w:t xml:space="preserve">— quelle pièce va sur quel véhicule local ; inattaquable à 100 000 transactions.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L'escrow Mobile Money + garantie Pièces</w:t>
      </w:r>
      <w:r>
        <w:t xml:space="preserve"> </w:t>
      </w:r>
      <w:r>
        <w:t xml:space="preserve">— confiance institutionnelle dans un marché de méfiance.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conformité FNE-CI native</w:t>
      </w:r>
      <w:r>
        <w:t xml:space="preserve"> </w:t>
      </w:r>
      <w:r>
        <w:t xml:space="preserve">— premier à émettre la facture normalisée DGI sur la pièce.</w:t>
      </w:r>
    </w:p>
    <w:bookmarkEnd w:id="16"/>
    <w:bookmarkStart w:id="17" w:name="X7c2aabc633271713b97276edaacc989d2dcb614"/>
    <w:p>
      <w:pPr>
        <w:pStyle w:val="Heading2"/>
      </w:pPr>
      <w:r>
        <w:t xml:space="preserve">6. Modèle économique</w:t>
      </w:r>
    </w:p>
    <w:p>
      <w:pPr>
        <w:pStyle w:val="FirstParagraph"/>
      </w:pPr>
      <w:r>
        <w:t xml:space="preserve">Quatre flux de revenus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Flux</w:t>
            </w:r>
          </w:p>
        </w:tc>
        <w:tc>
          <w:tcPr/>
          <w:p>
            <w:pPr>
              <w:pStyle w:val="Compact"/>
            </w:pPr>
            <w:r>
              <w:t xml:space="preserve">Mécanique</w:t>
            </w:r>
          </w:p>
        </w:tc>
        <w:tc>
          <w:tcPr/>
          <w:p>
            <w:pPr>
              <w:pStyle w:val="Compact"/>
            </w:pPr>
            <w:r>
              <w:t xml:space="preserve">Cible mature (an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Commission marketplace</w:t>
            </w:r>
          </w:p>
        </w:tc>
        <w:tc>
          <w:tcPr/>
          <w:p>
            <w:pPr>
              <w:pStyle w:val="Compact"/>
            </w:pPr>
            <w:r>
              <w:t xml:space="preserve">5–10 % côté vendeur, prélevée à l'escrow</w:t>
            </w:r>
          </w:p>
        </w:tc>
        <w:tc>
          <w:tcPr/>
          <w:p>
            <w:pPr>
              <w:pStyle w:val="Compact"/>
            </w:pPr>
            <w:r>
              <w:t xml:space="preserve">45 %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</w:t>
            </w:r>
          </w:p>
        </w:tc>
        <w:tc>
          <w:tcPr/>
          <w:p>
            <w:pPr>
              <w:pStyle w:val="Compact"/>
            </w:pPr>
            <w:r>
              <w:t xml:space="preserve">5 000 F / véh / mois</w:t>
            </w:r>
          </w:p>
        </w:tc>
        <w:tc>
          <w:tcPr/>
          <w:p>
            <w:pPr>
              <w:pStyle w:val="Compact"/>
            </w:pPr>
            <w:r>
              <w:t xml:space="preserve">35 %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 +</w:t>
            </w:r>
          </w:p>
        </w:tc>
        <w:tc>
          <w:tcPr/>
          <w:p>
            <w:pPr>
              <w:pStyle w:val="Compact"/>
            </w:pPr>
            <w:r>
              <w:t xml:space="preserve">10 000 F / véh / mois (livraison express)</w:t>
            </w:r>
          </w:p>
        </w:tc>
        <w:tc>
          <w:tcPr/>
          <w:p>
            <w:pPr>
              <w:pStyle w:val="Compact"/>
            </w:pPr>
            <w:r>
              <w:t xml:space="preserve">15 %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Conformité / facturation</w:t>
            </w:r>
          </w:p>
        </w:tc>
        <w:tc>
          <w:tcPr/>
          <w:p>
            <w:pPr>
              <w:pStyle w:val="Compact"/>
            </w:pPr>
            <w:r>
              <w:t xml:space="preserve">Forfait FNE-CI, prestations</w:t>
            </w:r>
          </w:p>
        </w:tc>
        <w:tc>
          <w:tcPr/>
          <w:p>
            <w:pPr>
              <w:pStyle w:val="Compact"/>
            </w:pPr>
            <w:r>
              <w:t xml:space="preserve">5 % du revenu</w:t>
            </w:r>
          </w:p>
        </w:tc>
      </w:tr>
    </w:tbl>
    <w:p>
      <w:pPr>
        <w:pStyle w:val="BodyText"/>
      </w:pPr>
      <w:r>
        <w:rPr>
          <w:b/>
          <w:bCs/>
        </w:rPr>
        <w:t xml:space="preserve">Unit economics cibles :</w:t>
      </w:r>
    </w:p>
    <w:p>
      <w:pPr>
        <w:pStyle w:val="Compact"/>
        <w:numPr>
          <w:ilvl w:val="0"/>
          <w:numId w:val="1004"/>
        </w:numPr>
      </w:pPr>
      <w:r>
        <w:t xml:space="preserve">Panier moyen marketplace</w:t>
      </w:r>
      <w:r>
        <w:t xml:space="preserve"> </w:t>
      </w:r>
      <w:r>
        <w:rPr>
          <w:b/>
          <w:bCs/>
        </w:rPr>
        <w:t xml:space="preserve">32 000 F</w:t>
      </w:r>
      <w:r>
        <w:t xml:space="preserve">, take rate</w:t>
      </w:r>
      <w:r>
        <w:t xml:space="preserve"> </w:t>
      </w:r>
      <w:r>
        <w:rPr>
          <w:b/>
          <w:bCs/>
        </w:rPr>
        <w:t xml:space="preserve">8 %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2 560 F</w:t>
      </w:r>
      <w:r>
        <w:t xml:space="preserve"> </w:t>
      </w:r>
      <w:r>
        <w:t xml:space="preserve">de revenu net par commande.</w:t>
      </w:r>
    </w:p>
    <w:p>
      <w:pPr>
        <w:pStyle w:val="Compact"/>
        <w:numPr>
          <w:ilvl w:val="0"/>
          <w:numId w:val="1004"/>
        </w:numPr>
      </w:pPr>
      <w:r>
        <w:t xml:space="preserve">CAC mécanicien</w:t>
      </w:r>
      <w:r>
        <w:t xml:space="preserve"> </w:t>
      </w:r>
      <w:r>
        <w:rPr>
          <w:b/>
          <w:bCs/>
        </w:rPr>
        <w:t xml:space="preserve">&lt; 1 500 F</w:t>
      </w:r>
      <w:r>
        <w:t xml:space="preserve"> </w:t>
      </w:r>
      <w:r>
        <w:t xml:space="preserve">(organique + Liaison) ; CAC flotte indépendante</w:t>
      </w:r>
      <w:r>
        <w:t xml:space="preserve"> </w:t>
      </w:r>
      <w:r>
        <w:rPr>
          <w:b/>
          <w:bCs/>
        </w:rPr>
        <w:t xml:space="preserve">25 000–60 000 F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LTV Flotte Pro (24 mois, churn 4 %/mois)</w:t>
      </w:r>
      <w:r>
        <w:t xml:space="preserve"> </w:t>
      </w:r>
      <w:r>
        <w:rPr>
          <w:b/>
          <w:bCs/>
        </w:rPr>
        <w:t xml:space="preserve">~85 000 F/véhicule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Ratio LTV/CAC &gt; 4</w:t>
      </w:r>
      <w:r>
        <w:t xml:space="preserve"> </w:t>
      </w:r>
      <w:r>
        <w:t xml:space="preserve">sur tous les segments dès M12.</w:t>
      </w:r>
    </w:p>
    <w:bookmarkEnd w:id="17"/>
    <w:bookmarkStart w:id="18" w:name="X3a5a11bcd4042d015c7e0cacd8b015163683533"/>
    <w:p>
      <w:pPr>
        <w:pStyle w:val="Heading2"/>
      </w:pPr>
      <w:r>
        <w:t xml:space="preserve">7. Go-to-market</w:t>
      </w:r>
    </w:p>
    <w:p>
      <w:pPr>
        <w:pStyle w:val="FirstParagraph"/>
      </w:pPr>
      <w:r>
        <w:t xml:space="preserve">Stratégie en 5 mouvements sur 24 mois 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M0–6 — Verrouiller Adjamé/Yopougon</w:t>
      </w:r>
      <w:r>
        <w:t xml:space="preserve"> </w:t>
      </w:r>
      <w:r>
        <w:t xml:space="preserve">: 20 Liaisons, 300 vendeurs onboardés, 30 000 pièces publiées, 350 commandes/jour à M6.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M3–12 — Prendre le VTC</w:t>
      </w:r>
      <w:r>
        <w:t xml:space="preserve"> </w:t>
      </w:r>
      <w:r>
        <w:t xml:space="preserve">: partenariat Yango (pilote 200 conducteurs gratuits 3 mois → déploiement masse), Heetch en parallèle, démarchage des flottes indépendantes (5–200 véhicules), 3 cas clients chiffrés (-20 % budget pièces).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M6–15 — Devenir le standard FNE-CI</w:t>
      </w:r>
      <w:r>
        <w:t xml:space="preserve"> </w:t>
      </w:r>
      <w:r>
        <w:t xml:space="preserve">: intégration DGI, vente directe aux DAF (« vos chauffeurs achètent en cash → vous perdez la TVA »).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M12–18 — Étendre BTP / transport collectif / corporate</w:t>
      </w:r>
      <w:r>
        <w:t xml:space="preserve"> </w:t>
      </w:r>
      <w:r>
        <w:t xml:space="preserve">: +2 500 véhicules au-delà du VTC.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M18–24 — Sortir d'Abidjan</w:t>
      </w:r>
      <w:r>
        <w:t xml:space="preserve"> </w:t>
      </w:r>
      <w:r>
        <w:t xml:space="preserve">: Bouaké, San Pedro ; pilote sous-régional (Dakar/Cotonou).</w:t>
      </w:r>
    </w:p>
    <w:p>
      <w:pPr>
        <w:pStyle w:val="FirstParagraph"/>
      </w:pPr>
      <w:r>
        <w:t xml:space="preserve">Canaux d'acquisition : Liaison terrain (80 % du sourcing offre), WhatsApp &amp; radio populaire (demande), vente directe B2B (account executives), partenariats plateformes VTC, prescription experts-comptables/DAF.</w:t>
      </w:r>
    </w:p>
    <w:bookmarkEnd w:id="18"/>
    <w:bookmarkStart w:id="19" w:name="Xe133d617bb5657d9dcbe4bf6b4c0319c49e34cb"/>
    <w:p>
      <w:pPr>
        <w:pStyle w:val="Heading2"/>
      </w:pPr>
      <w:r>
        <w:t xml:space="preserve">8. Projections financières (3 ans)</w:t>
      </w:r>
    </w:p>
    <w:p>
      <w:pPr>
        <w:pStyle w:val="FirstParagraph"/>
      </w:pPr>
      <w:r>
        <w:t xml:space="preserve">Hypothèses : 1 USD ≈ 600 FCFA. Lancement commercial H2 2026. Chiffres en projections, à valider sur données réelles.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Indicateur</w:t>
            </w:r>
          </w:p>
        </w:tc>
        <w:tc>
          <w:tcPr/>
          <w:p>
            <w:pPr>
              <w:pStyle w:val="Compact"/>
            </w:pPr>
            <w:r>
              <w:t xml:space="preserve">An 1</w:t>
            </w:r>
          </w:p>
        </w:tc>
        <w:tc>
          <w:tcPr/>
          <w:p>
            <w:pPr>
              <w:pStyle w:val="Compact"/>
            </w:pPr>
            <w:r>
              <w:t xml:space="preserve">An 2</w:t>
            </w:r>
          </w:p>
        </w:tc>
        <w:tc>
          <w:tcPr/>
          <w:p>
            <w:pPr>
              <w:pStyle w:val="Compact"/>
            </w:pPr>
            <w:r>
              <w:t xml:space="preserve">An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Commandes marketplace / jour (fin de période)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2 800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GMV marketplace</w:t>
            </w:r>
          </w:p>
        </w:tc>
        <w:tc>
          <w:tcPr/>
          <w:p>
            <w:pPr>
              <w:pStyle w:val="Compact"/>
            </w:pPr>
            <w:r>
              <w:t xml:space="preserve">~2,9 Mds F</w:t>
            </w:r>
          </w:p>
        </w:tc>
        <w:tc>
          <w:tcPr/>
          <w:p>
            <w:pPr>
              <w:pStyle w:val="Compact"/>
            </w:pPr>
            <w:r>
              <w:t xml:space="preserve">~11,5 Mds F</w:t>
            </w:r>
          </w:p>
        </w:tc>
        <w:tc>
          <w:tcPr/>
          <w:p>
            <w:pPr>
              <w:pStyle w:val="Compact"/>
            </w:pPr>
            <w:r>
              <w:t xml:space="preserve">~26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Véhicules sous abonnement (fin de période)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4 000</w:t>
            </w:r>
          </w:p>
        </w:tc>
        <w:tc>
          <w:tcPr/>
          <w:p>
            <w:pPr>
              <w:pStyle w:val="Compact"/>
            </w:pPr>
            <w:r>
              <w:t xml:space="preserve">8 000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Revenu net Pièces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~0,28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~1,15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~3,2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Marge brute</w:t>
            </w:r>
          </w:p>
        </w:tc>
        <w:tc>
          <w:tcPr/>
          <w:p>
            <w:pPr>
              <w:pStyle w:val="Compact"/>
            </w:pPr>
            <w:r>
              <w:t xml:space="preserve">~25 %</w:t>
            </w:r>
          </w:p>
        </w:tc>
        <w:tc>
          <w:tcPr/>
          <w:p>
            <w:pPr>
              <w:pStyle w:val="Compact"/>
            </w:pPr>
            <w:r>
              <w:t xml:space="preserve">~35 %</w:t>
            </w:r>
          </w:p>
        </w:tc>
        <w:tc>
          <w:tcPr/>
          <w:p>
            <w:pPr>
              <w:pStyle w:val="Compact"/>
            </w:pPr>
            <w:r>
              <w:t xml:space="preserve">~45 %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EBITDA</w:t>
            </w:r>
          </w:p>
        </w:tc>
        <w:tc>
          <w:tcPr/>
          <w:p>
            <w:pPr>
              <w:pStyle w:val="Compact"/>
            </w:pPr>
            <w:r>
              <w:t xml:space="preserve">négatif</w:t>
            </w:r>
          </w:p>
        </w:tc>
        <w:tc>
          <w:tcPr/>
          <w:p>
            <w:pPr>
              <w:pStyle w:val="Compact"/>
            </w:pPr>
            <w:r>
              <w:t xml:space="preserve">≈ break-even</w:t>
            </w:r>
          </w:p>
        </w:tc>
        <w:tc>
          <w:tcPr/>
          <w:p>
            <w:pPr>
              <w:pStyle w:val="Compact"/>
            </w:pPr>
            <w:r>
              <w:t xml:space="preserve">positif</w:t>
            </w:r>
          </w:p>
        </w:tc>
      </w:tr>
    </w:tbl>
    <w:p>
      <w:pPr>
        <w:pStyle w:val="BodyText"/>
      </w:pPr>
      <w:r>
        <w:t xml:space="preserve">L'an 3 atteint l'objectif stratégique :</w:t>
      </w:r>
      <w:r>
        <w:t xml:space="preserve"> </w:t>
      </w:r>
      <w:r>
        <w:rPr>
          <w:b/>
          <w:bCs/>
        </w:rPr>
        <w:t xml:space="preserve">5 000+ véhicules</w:t>
      </w:r>
      <w:r>
        <w:t xml:space="preserve"> </w:t>
      </w:r>
      <w:r>
        <w:t xml:space="preserve">sous abonnement et</w:t>
      </w:r>
      <w:r>
        <w:t xml:space="preserve"> </w:t>
      </w:r>
      <w:r>
        <w:rPr>
          <w:b/>
          <w:bCs/>
        </w:rPr>
        <w:t xml:space="preserve">~25 000 transactions marketplace/mois</w:t>
      </w:r>
      <w:r>
        <w:t xml:space="preserve">, position de standard de fait sur la facturation normalisée.</w:t>
      </w:r>
    </w:p>
    <w:bookmarkEnd w:id="19"/>
    <w:bookmarkStart w:id="25" w:name="X43c579b601c38b9082e0be04d6bdb1a843ef7a5"/>
    <w:p>
      <w:pPr>
        <w:pStyle w:val="Heading2"/>
      </w:pPr>
      <w:r>
        <w:t xml:space="preserve">9. La levée — combien, pourquoi, pour quoi</w:t>
      </w:r>
    </w:p>
    <w:bookmarkStart w:id="20" w:name="X959eaac1a283f8adcc07af4c0e334e27d757517"/>
    <w:p>
      <w:pPr>
        <w:pStyle w:val="Heading3"/>
      </w:pPr>
      <w:r>
        <w:t xml:space="preserve">9.1 Le besoin</w:t>
      </w:r>
    </w:p>
    <w:p>
      <w:pPr>
        <w:pStyle w:val="FirstParagraph"/>
      </w:pPr>
      <w:r>
        <w:t xml:space="preserve">Pour « bien commencer » vers ces objectifs, il faut financer</w:t>
      </w:r>
      <w:r>
        <w:t xml:space="preserve"> </w:t>
      </w:r>
      <w:r>
        <w:rPr>
          <w:b/>
          <w:bCs/>
        </w:rPr>
        <w:t xml:space="preserve">18 à 24 mois</w:t>
      </w:r>
      <w:r>
        <w:t xml:space="preserve"> </w:t>
      </w:r>
      <w:r>
        <w:t xml:space="preserve">d'exécution jusqu'aux jalons d'une Série A. Construction du burn mensuel (FCFA)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</w:pPr>
            <w:r>
              <w:t xml:space="preserve">M0–6 (build + Adjamé)</w:t>
            </w:r>
          </w:p>
        </w:tc>
        <w:tc>
          <w:tcPr/>
          <w:p>
            <w:pPr>
              <w:pStyle w:val="Compact"/>
            </w:pPr>
            <w:r>
              <w:t xml:space="preserve">M7–12 (VTC + monétisation)</w:t>
            </w:r>
          </w:p>
        </w:tc>
        <w:tc>
          <w:tcPr/>
          <w:p>
            <w:pPr>
              <w:pStyle w:val="Compact"/>
            </w:pPr>
            <w:r>
              <w:t xml:space="preserve">M13–18 (scale)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Masse salariale</w:t>
            </w:r>
          </w:p>
        </w:tc>
        <w:tc>
          <w:tcPr/>
          <w:p>
            <w:pPr>
              <w:pStyle w:val="Compact"/>
            </w:pPr>
            <w:r>
              <w:t xml:space="preserve">~12 M/mois</w:t>
            </w:r>
          </w:p>
        </w:tc>
        <w:tc>
          <w:tcPr/>
          <w:p>
            <w:pPr>
              <w:pStyle w:val="Compact"/>
            </w:pPr>
            <w:r>
              <w:t xml:space="preserve">~22 M/mois</w:t>
            </w:r>
          </w:p>
        </w:tc>
        <w:tc>
          <w:tcPr/>
          <w:p>
            <w:pPr>
              <w:pStyle w:val="Compact"/>
            </w:pPr>
            <w:r>
              <w:t xml:space="preserve">~30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Liaison &amp; ops terrain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 &amp; acquisition</w:t>
            </w:r>
          </w:p>
        </w:tc>
        <w:tc>
          <w:tcPr/>
          <w:p>
            <w:pPr>
              <w:pStyle w:val="Compact"/>
            </w:pPr>
            <w:r>
              <w:t xml:space="preserve">~3 M/mois</w:t>
            </w:r>
          </w:p>
        </w:tc>
        <w:tc>
          <w:tcPr/>
          <w:p>
            <w:pPr>
              <w:pStyle w:val="Compact"/>
            </w:pPr>
            <w:r>
              <w:t xml:space="preserve">~6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Logistique / livreurs / stock tampon</w:t>
            </w:r>
          </w:p>
        </w:tc>
        <w:tc>
          <w:tcPr/>
          <w:p>
            <w:pPr>
              <w:pStyle w:val="Compact"/>
            </w:pPr>
            <w:r>
              <w:t xml:space="preserve">~2 M/mois</w:t>
            </w:r>
          </w:p>
        </w:tc>
        <w:tc>
          <w:tcPr/>
          <w:p>
            <w:pPr>
              <w:pStyle w:val="Compact"/>
            </w:pPr>
            <w:r>
              <w:t xml:space="preserve">~5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Cloud, outils, bureau, légal</w:t>
            </w:r>
          </w:p>
        </w:tc>
        <w:tc>
          <w:tcPr/>
          <w:p>
            <w:pPr>
              <w:pStyle w:val="Compact"/>
            </w:pPr>
            <w:r>
              <w:t xml:space="preserve">~5 M/mois</w:t>
            </w:r>
          </w:p>
        </w:tc>
        <w:tc>
          <w:tcPr/>
          <w:p>
            <w:pPr>
              <w:pStyle w:val="Compact"/>
            </w:pPr>
            <w:r>
              <w:t xml:space="preserve">~7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Burn brut mensuel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~22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~40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~54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 net (compensation)</w:t>
            </w:r>
          </w:p>
        </w:tc>
        <w:tc>
          <w:tcPr/>
          <w:p>
            <w:pPr>
              <w:pStyle w:val="Compact"/>
            </w:pPr>
            <w:r>
              <w:t xml:space="preserve">~0</w:t>
            </w:r>
          </w:p>
        </w:tc>
        <w:tc>
          <w:tcPr/>
          <w:p>
            <w:pPr>
              <w:pStyle w:val="Compact"/>
            </w:pPr>
            <w:r>
              <w:t xml:space="preserve">~25 M (croissant)</w:t>
            </w:r>
          </w:p>
        </w:tc>
        <w:tc>
          <w:tcPr/>
          <w:p>
            <w:pPr>
              <w:pStyle w:val="Compact"/>
            </w:pPr>
            <w:r>
              <w:t xml:space="preserve">~50 M (≈ break-even)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Burn net mensuel</w:t>
            </w:r>
          </w:p>
        </w:tc>
        <w:tc>
          <w:tcPr/>
          <w:p>
            <w:pPr>
              <w:pStyle w:val="Compact"/>
            </w:pPr>
            <w:r>
              <w:t xml:space="preserve">~22 M</w:t>
            </w:r>
          </w:p>
        </w:tc>
        <w:tc>
          <w:tcPr/>
          <w:p>
            <w:pPr>
              <w:pStyle w:val="Compact"/>
            </w:pPr>
            <w:r>
              <w:t xml:space="preserve">~15 M</w:t>
            </w:r>
          </w:p>
        </w:tc>
        <w:tc>
          <w:tcPr/>
          <w:p>
            <w:pPr>
              <w:pStyle w:val="Compact"/>
            </w:pPr>
            <w:r>
              <w:t xml:space="preserve">~0–5 M</w:t>
            </w:r>
          </w:p>
        </w:tc>
      </w:tr>
    </w:tbl>
    <w:p>
      <w:pPr>
        <w:pStyle w:val="BodyText"/>
      </w:pPr>
      <w:r>
        <w:t xml:space="preserve">Burn net opérationnel cumulé M0–18 ≈</w:t>
      </w:r>
      <w:r>
        <w:t xml:space="preserve"> </w:t>
      </w:r>
      <w:r>
        <w:rPr>
          <w:b/>
          <w:bCs/>
        </w:rPr>
        <w:t xml:space="preserve">300–350 M FCFA</w:t>
      </w:r>
      <w:r>
        <w:t xml:space="preserve">, auquel s'ajoutent le</w:t>
      </w:r>
      <w:r>
        <w:t xml:space="preserve"> </w:t>
      </w:r>
      <w:r>
        <w:rPr>
          <w:b/>
          <w:bCs/>
        </w:rPr>
        <w:t xml:space="preserve">fonds de roulement</w:t>
      </w:r>
      <w:r>
        <w:t xml:space="preserve"> </w:t>
      </w:r>
      <w:r>
        <w:t xml:space="preserve">(stock tampon SLA, ~100–150 M F), un</w:t>
      </w:r>
      <w:r>
        <w:t xml:space="preserve"> </w:t>
      </w:r>
      <w:r>
        <w:rPr>
          <w:b/>
          <w:bCs/>
        </w:rPr>
        <w:t xml:space="preserve">coussin de sécurité / contingence</w:t>
      </w:r>
      <w:r>
        <w:t xml:space="preserve"> </w:t>
      </w:r>
      <w:r>
        <w:t xml:space="preserve">(~150–200 M F) et une réserve de préparation Série A.</w:t>
      </w:r>
    </w:p>
    <w:bookmarkEnd w:id="20"/>
    <w:bookmarkStart w:id="21" w:name="X281d52bfc97427ec2276e516ed8cc65fb293d6e"/>
    <w:p>
      <w:pPr>
        <w:pStyle w:val="Heading3"/>
      </w:pPr>
      <w:r>
        <w:t xml:space="preserve">9.2 Recommandation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Scénario</w:t>
            </w:r>
          </w:p>
        </w:tc>
        <w:tc>
          <w:tcPr/>
          <w:p>
            <w:pPr>
              <w:pStyle w:val="Compact"/>
            </w:pPr>
            <w:r>
              <w:t xml:space="preserve">Montant</w:t>
            </w:r>
          </w:p>
        </w:tc>
        <w:tc>
          <w:tcPr/>
          <w:p>
            <w:pPr>
              <w:pStyle w:val="Compact"/>
            </w:pPr>
            <w:r>
              <w:t xml:space="preserve">Runway</w:t>
            </w:r>
          </w:p>
        </w:tc>
        <w:tc>
          <w:tcPr/>
          <w:p>
            <w:pPr>
              <w:pStyle w:val="Compact"/>
            </w:pPr>
            <w:r>
              <w:t xml:space="preserve">Logique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</w:t>
            </w:r>
          </w:p>
        </w:tc>
        <w:tc>
          <w:tcPr/>
          <w:p>
            <w:pPr>
              <w:pStyle w:val="Compact"/>
            </w:pPr>
            <w:r>
              <w:t xml:space="preserve">~1,0 M USD (600 M F)</w:t>
            </w:r>
          </w:p>
        </w:tc>
        <w:tc>
          <w:tcPr/>
          <w:p>
            <w:pPr>
              <w:pStyle w:val="Compact"/>
            </w:pPr>
            <w:r>
              <w:t xml:space="preserve">~14–16 mois</w:t>
            </w:r>
          </w:p>
        </w:tc>
        <w:tc>
          <w:tcPr/>
          <w:p>
            <w:pPr>
              <w:pStyle w:val="Compact"/>
            </w:pPr>
            <w:r>
              <w:t xml:space="preserve">Strict minimum, peu de marge d'erreur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Recommandé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~1,5 M USD (900 M F)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~20–24 mois</w:t>
            </w:r>
          </w:p>
        </w:tc>
        <w:tc>
          <w:tcPr/>
          <w:p>
            <w:pPr>
              <w:pStyle w:val="Compact"/>
            </w:pPr>
            <w:r>
              <w:t xml:space="preserve">Atteint les jalons Série A avec coussin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Ambitieux</w:t>
            </w:r>
          </w:p>
        </w:tc>
        <w:tc>
          <w:tcPr/>
          <w:p>
            <w:pPr>
              <w:pStyle w:val="Compact"/>
            </w:pPr>
            <w:r>
              <w:t xml:space="preserve">~2,0 M USD (1,2 Md F)</w:t>
            </w:r>
          </w:p>
        </w:tc>
        <w:tc>
          <w:tcPr/>
          <w:p>
            <w:pPr>
              <w:pStyle w:val="Compact"/>
            </w:pPr>
            <w:r>
              <w:t xml:space="preserve">~24 mois +</w:t>
            </w:r>
          </w:p>
        </w:tc>
        <w:tc>
          <w:tcPr/>
          <w:p>
            <w:pPr>
              <w:pStyle w:val="Compact"/>
            </w:pPr>
            <w:r>
              <w:t xml:space="preserve">Compresse le calendrier, accélère le VTC et le BTP</w:t>
            </w:r>
          </w:p>
        </w:tc>
      </w:tr>
    </w:tbl>
    <w:bookmarkEnd w:id="21"/>
    <w:bookmarkStart w:id="22" w:name="X5e1ab7649e579152c4e515a4a474a5031c43d48"/>
    <w:p>
      <w:pPr>
        <w:pStyle w:val="Heading3"/>
      </w:pPr>
      <w:r>
        <w:t xml:space="preserve">9.3 Emploi des fonds (scénario recommandé, 900 M FCFA)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Montant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Liaison &amp; opérations terrain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  <w:tc>
          <w:tcPr/>
          <w:p>
            <w:pPr>
              <w:pStyle w:val="Compact"/>
            </w:pPr>
            <w:r>
              <w:t xml:space="preserve">270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Commercial &amp; GTM (B2B + acquisition demande)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225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Produit &amp; tech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225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G&amp;A, finance, légal, conformité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90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Fonds de roulement &amp; contingence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90 M F</w:t>
            </w:r>
          </w:p>
        </w:tc>
      </w:tr>
    </w:tbl>
    <w:bookmarkEnd w:id="22"/>
    <w:bookmarkStart w:id="23" w:name="X34f76f6bb1a57270b17d02c9539ecf96603979b"/>
    <w:p>
      <w:pPr>
        <w:pStyle w:val="Heading3"/>
      </w:pPr>
      <w:r>
        <w:t xml:space="preserve">9.4 Jalons débloqués (conditions de la Série A)</w:t>
      </w:r>
    </w:p>
    <w:p>
      <w:pPr>
        <w:pStyle w:val="Compact"/>
        <w:numPr>
          <w:ilvl w:val="0"/>
          <w:numId w:val="1006"/>
        </w:numPr>
      </w:pPr>
      <w:r>
        <w:t xml:space="preserve">600+ commandes/jour à M9, 1 500 véhicules sous abonnement à M12.</w:t>
      </w:r>
    </w:p>
    <w:p>
      <w:pPr>
        <w:pStyle w:val="Compact"/>
        <w:numPr>
          <w:ilvl w:val="0"/>
          <w:numId w:val="1006"/>
        </w:numPr>
      </w:pPr>
      <w:r>
        <w:t xml:space="preserve">GMV mensuel &gt; 250 M F, marge brute &gt; 30 %, churn flotte &lt; 5 %/mois à M12.</w:t>
      </w:r>
    </w:p>
    <w:p>
      <w:pPr>
        <w:pStyle w:val="Compact"/>
        <w:numPr>
          <w:ilvl w:val="0"/>
          <w:numId w:val="1006"/>
        </w:numPr>
      </w:pPr>
      <w:r>
        <w:t xml:space="preserve">Partenariat Yango officialisé ; 3 cas clients VTC publiables ; FNE-CI en production.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Série A 4–7 M USD</w:t>
      </w:r>
      <w:r>
        <w:t xml:space="preserve"> </w:t>
      </w:r>
      <w:r>
        <w:t xml:space="preserve">visée à M15–18 pour l'expansion nationale et sous-régionale.</w:t>
      </w:r>
    </w:p>
    <w:bookmarkEnd w:id="23"/>
    <w:bookmarkStart w:id="24" w:name="X53a8439bcd5433c464d66ed706f38d99ce47ceb"/>
    <w:p>
      <w:pPr>
        <w:pStyle w:val="Heading3"/>
      </w:pPr>
      <w:r>
        <w:t xml:space="preserve">9.5 Investisseurs cibles</w:t>
      </w:r>
    </w:p>
    <w:p>
      <w:pPr>
        <w:pStyle w:val="FirstParagraph"/>
      </w:pPr>
      <w:r>
        <w:t xml:space="preserve">VC pan-africains (Partech, Janngo Capital, Ventures Platform, P1 Ventures, AAIC), family offices ivoiriens, et financements non-dilutifs (Proparco, IFC, GIZ, FCS) pour la formation Liaison (impact emploi jeunes + formalisation de l'informel).</w:t>
      </w:r>
    </w:p>
    <w:bookmarkEnd w:id="24"/>
    <w:bookmarkEnd w:id="25"/>
    <w:bookmarkStart w:id="26" w:name="Xf14564cc3ff9099691e307619d889d62f3aef47"/>
    <w:p>
      <w:pPr>
        <w:pStyle w:val="Heading2"/>
      </w:pPr>
      <w:r>
        <w:t xml:space="preserve">10. Équipe &amp; organisation</w:t>
      </w:r>
    </w:p>
    <w:p>
      <w:pPr>
        <w:pStyle w:val="FirstParagraph"/>
      </w:pPr>
      <w:r>
        <w:t xml:space="preserve">Recrutements prioritaires M0–M3 :</w:t>
      </w:r>
      <w:r>
        <w:t xml:space="preserve"> </w:t>
      </w:r>
      <w:r>
        <w:rPr>
          <w:b/>
          <w:bCs/>
        </w:rPr>
        <w:t xml:space="preserve">Head of Liaison</w:t>
      </w:r>
      <w:r>
        <w:t xml:space="preserve"> </w:t>
      </w:r>
      <w:r>
        <w:t xml:space="preserve">(l'arme stratégique),</w:t>
      </w:r>
      <w:r>
        <w:t xml:space="preserve"> </w:t>
      </w:r>
      <w:r>
        <w:rPr>
          <w:b/>
          <w:bCs/>
        </w:rPr>
        <w:t xml:space="preserve">Head of Sales B2B</w:t>
      </w:r>
      <w:r>
        <w:t xml:space="preserve">,</w:t>
      </w:r>
      <w:r>
        <w:t xml:space="preserve"> </w:t>
      </w:r>
      <w:r>
        <w:rPr>
          <w:b/>
          <w:bCs/>
        </w:rPr>
        <w:t xml:space="preserve">Chief of Staff CEO</w:t>
      </w:r>
      <w:r>
        <w:t xml:space="preserve">,</w:t>
      </w:r>
      <w:r>
        <w:t xml:space="preserve"> </w:t>
      </w:r>
      <w:r>
        <w:rPr>
          <w:b/>
          <w:bCs/>
        </w:rPr>
        <w:t xml:space="preserve">CTO confirmé</w:t>
      </w:r>
      <w:r>
        <w:t xml:space="preserve">. Cible ~25 personnes à M12, ~55 à M24 (tech, commercial flotte, Liaison/ops, support WhatsApp, finance/conformité).</w:t>
      </w:r>
    </w:p>
    <w:bookmarkEnd w:id="26"/>
    <w:bookmarkStart w:id="27" w:name="X763116106ce99293571b5d36c178b2817c42d03"/>
    <w:p>
      <w:pPr>
        <w:pStyle w:val="Heading2"/>
      </w:pPr>
      <w:r>
        <w:t xml:space="preserve">11. Risques majeurs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Risque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Réplication du modèle Liaison par un acteur capitalisé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Verrouillage 12 mois, exclusivité partielle top vendeurs, data fitments propriétaire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 livraison express non tenu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Réseau livreurs dédié, stock tampon, SLA opérationnel &lt; SLA promis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Fraude vendeur / fausse pièce OEM</w:t>
            </w:r>
          </w:p>
        </w:tc>
        <w:tc>
          <w:tcPr/>
          <w:p>
            <w:pPr>
              <w:pStyle w:val="Compact"/>
            </w:pPr>
            <w:r>
              <w:t xml:space="preserve">Critique (marque)</w:t>
            </w:r>
          </w:p>
        </w:tc>
        <w:tc>
          <w:tcPr/>
          <w:p>
            <w:pPr>
              <w:pStyle w:val="Compact"/>
            </w:pPr>
            <w:r>
              <w:t xml:space="preserve">Garantie 100 % remplacement, fonds de garantie, ban immédiat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Régulation DGI hostile à un acteur privé FNE-CI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Briefing institutionnel pré-lancement, posture partenaire de la formalisation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Dépendance Mobile Money (panne PSP)</w:t>
            </w:r>
          </w:p>
        </w:tc>
        <w:tc>
          <w:tcPr/>
          <w:p>
            <w:pPr>
              <w:pStyle w:val="Compact"/>
            </w:pPr>
            <w:r>
              <w:t xml:space="preserve">Élevé temporaire</w:t>
            </w:r>
          </w:p>
        </w:tc>
        <w:tc>
          <w:tcPr/>
          <w:p>
            <w:pPr>
              <w:pStyle w:val="Compact"/>
            </w:pPr>
            <w:r>
              <w:t xml:space="preserve">Multi-PSP (CinetPay + Wave + OM/MTN), fallback COD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Burn supérieur au plan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Revue cash mensuelle, jalons Série A clairs, scénario downside runway 18 mois</w:t>
            </w:r>
          </w:p>
        </w:tc>
      </w:tr>
    </w:tbl>
    <w:bookmarkEnd w:id="27"/>
    <w:bookmarkStart w:id="28" w:name="Xe4a44f47ecc4f37765f106d33fccea18b3927c0"/>
    <w:p>
      <w:pPr>
        <w:pStyle w:val="Heading2"/>
      </w:pPr>
      <w:r>
        <w:t xml:space="preserve">12. Pourquoi maintenant, pourquoi Pièces</w:t>
      </w:r>
    </w:p>
    <w:p>
      <w:pPr>
        <w:pStyle w:val="FirstParagraph"/>
      </w:pPr>
      <w:r>
        <w:t xml:space="preserve">Le marché est gigantesque, fragmenté, mal servi.</w:t>
      </w:r>
      <w:r>
        <w:t xml:space="preserve"> </w:t>
      </w:r>
      <w:r>
        <w:rPr>
          <w:b/>
          <w:bCs/>
        </w:rPr>
        <w:t xml:space="preserve">Personne</w:t>
      </w:r>
      <w:r>
        <w:t xml:space="preserve"> </w:t>
      </w:r>
      <w:r>
        <w:t xml:space="preserve">ne combine la marketplace consommateur, la plateforme flotte B2B et le réseau terrain Liaison ; personne n'a la conformité FNE-CI native ni la base fitments Côte d'Ivoire que nous construisons transaction par transaction. Ces trois éléments —</w:t>
      </w:r>
      <w:r>
        <w:t xml:space="preserve"> </w:t>
      </w:r>
      <w:r>
        <w:rPr>
          <w:b/>
          <w:bCs/>
        </w:rPr>
        <w:t xml:space="preserve">demande, offre, conformité</w:t>
      </w:r>
      <w:r>
        <w:t xml:space="preserve"> </w:t>
      </w:r>
      <w:r>
        <w:t xml:space="preserve">— forment un monopole défendable à 36 mois si l'exécution est tenue.</w:t>
      </w:r>
      <w:r>
        <w:t xml:space="preserve"> </w:t>
      </w:r>
      <w:r>
        <w:rPr>
          <w:b/>
          <w:bCs/>
        </w:rPr>
        <w:t xml:space="preserve">La fenêtre se referme dès qu'un acteur pan-africain capitalisé tente la même combinaison.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Pièces — la pièce qu'il te faut, au juste prix, livrée et garantie. · Document interne confidentiel · Plan d'affaires v1.1 · Juin 2026. Sources marché : étude Pièces « Coûts d'exploitation VTC en Côte d'Ivoire » (mai 2026), Déclic Car / 7info &amp; Digital Mag CI (Yango : 25 000 véhicules, 100 000 courses/jour, 160 entreprises — 2026), Africa Data Intelligence (VTC 2024), Ministère des Transports CI (parc ~1,2 M, 2022), Agence Ecofin &amp; Jeune Afrique (retrait Uber 2025), Disrupt Africa / TechCabal (financement 2024–2025). Chiffres financiers : projections internes à valider sur données réelles.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2026-06-07T06:31:14Z</dcterms:created>
  <dcterms:modified xsi:type="dcterms:W3CDTF">2026-06-07T06:31:14Z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