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Xb74e99cf95c9a4dbf41027ccd7eb504795f8491"/>
    <w:p>
      <w:pPr>
        <w:pStyle w:val="Heading1"/>
      </w:pPr>
      <w:r>
        <w:t xml:space="preserve">Pièces — Brochure pour gestionnaire de flotte BTP grand compte</w:t>
      </w:r>
    </w:p>
    <w:p>
      <w:pPr>
        <w:pStyle w:val="FirstParagraph"/>
      </w:pPr>
      <w:r>
        <w:rPr>
          <w:i/>
          <w:iCs/>
        </w:rPr>
        <w:t xml:space="preserve">Édition confidentielle · destinée à [Nom de l’entreprise BTP] · 27 mai 2026</w:t>
      </w:r>
    </w:p>
    <w:p>
      <w:pPr>
        <w:pStyle w:val="BodyText"/>
      </w:pPr>
      <w:r>
        <w:t xml:space="preserve">Pour les</w:t>
      </w:r>
      <w:r>
        <w:t xml:space="preserve"> </w:t>
      </w:r>
      <w:r>
        <w:rPr>
          <w:b/>
          <w:bCs/>
        </w:rPr>
        <w:t xml:space="preserve">opérateurs BTP, mines et travaux publics</w:t>
      </w:r>
      <w:r>
        <w:t xml:space="preserve"> </w:t>
      </w:r>
      <w:r>
        <w:t xml:space="preserve">en Côte d’Ivoire qui exploitent</w:t>
      </w:r>
      <w:r>
        <w:t xml:space="preserve"> </w:t>
      </w:r>
      <w:r>
        <w:rPr>
          <w:b/>
          <w:bCs/>
        </w:rPr>
        <w:t xml:space="preserve">300 à 2 000 véhicules</w:t>
      </w:r>
      <w:r>
        <w:t xml:space="preserve"> </w:t>
      </w:r>
      <w:r>
        <w:t xml:space="preserve">(camions bennes, semi-remorques, engins lourds, pickups de chantier) et veulent reprendre le contrôle sur leur budget pièces, leur taux d’immobilisation chantier et leur conformité fiscale DGI.</w:t>
      </w:r>
    </w:p>
    <w:bookmarkStart w:id="20" w:name="le-problème-à-votre-échelle"/>
    <w:p>
      <w:pPr>
        <w:pStyle w:val="Heading2"/>
      </w:pPr>
      <w:r>
        <w:t xml:space="preserve">Le problème, à votre échelle</w:t>
      </w:r>
    </w:p>
    <w:p>
      <w:pPr>
        <w:pStyle w:val="FirstParagraph"/>
      </w:pPr>
      <w:r>
        <w:t xml:space="preserve">Une flotte BTP de 800 véhicules en régime sévère consomme</w:t>
      </w:r>
      <w:r>
        <w:t xml:space="preserve"> </w:t>
      </w:r>
      <w:r>
        <w:rPr>
          <w:b/>
          <w:bCs/>
        </w:rPr>
        <w:t xml:space="preserve">200 à 400 millions de FCFA</w:t>
      </w:r>
      <w:r>
        <w:t xml:space="preserve"> </w:t>
      </w:r>
      <w:r>
        <w:t xml:space="preserve">de pièces et consommables par an. Sur chantier,</w:t>
      </w:r>
      <w:r>
        <w:t xml:space="preserve"> </w:t>
      </w:r>
      <w:r>
        <w:rPr>
          <w:b/>
          <w:bCs/>
        </w:rPr>
        <w:t xml:space="preserve">chaque jour d’immobilisation d’une pelle, d’une niveleuse ou d’un camion benne</w:t>
      </w:r>
      <w:r>
        <w:t xml:space="preserve"> </w:t>
      </w:r>
      <w:r>
        <w:t xml:space="preserve">se traduit par :</w:t>
      </w:r>
    </w:p>
    <w:p>
      <w:pPr>
        <w:pStyle w:val="Compact"/>
        <w:numPr>
          <w:ilvl w:val="0"/>
          <w:numId w:val="1001"/>
        </w:numPr>
      </w:pPr>
      <w:r>
        <w:t xml:space="preserve">L’équipe associée au repos forcé (chauffeur, manœuvres, mécano)</w:t>
      </w:r>
    </w:p>
    <w:p>
      <w:pPr>
        <w:pStyle w:val="Compact"/>
        <w:numPr>
          <w:ilvl w:val="0"/>
          <w:numId w:val="1001"/>
        </w:numPr>
      </w:pPr>
      <w:r>
        <w:t xml:space="preserve">Des pénalités contractuelles sur les avancées de chantier (jusqu’à 0,5–1 % du montant du marché par jour de retard)</w:t>
      </w:r>
    </w:p>
    <w:p>
      <w:pPr>
        <w:pStyle w:val="Compact"/>
        <w:numPr>
          <w:ilvl w:val="0"/>
          <w:numId w:val="1001"/>
        </w:numPr>
      </w:pPr>
      <w:r>
        <w:t xml:space="preserve">Un effet cascade sur les opérations en amont/aval (planning béton, transport granulats, terrassement)</w:t>
      </w:r>
    </w:p>
    <w:p>
      <w:pPr>
        <w:pStyle w:val="FirstParagraph"/>
      </w:pPr>
      <w:r>
        <w:t xml:space="preserve">Le coût réel d’une journée d’immobilisation d’un engin lourd en chantier oscille entre</w:t>
      </w:r>
      <w:r>
        <w:t xml:space="preserve"> </w:t>
      </w:r>
      <w:r>
        <w:rPr>
          <w:b/>
          <w:bCs/>
        </w:rPr>
        <w:t xml:space="preserve">200 000 et 500 000 FCFA</w:t>
      </w:r>
      <w:r>
        <w:t xml:space="preserve">, sans compter les pénalités.</w:t>
      </w:r>
    </w:p>
    <w:p>
      <w:pPr>
        <w:pStyle w:val="BodyText"/>
      </w:pPr>
      <w:r>
        <w:t xml:space="preserve">Sans plateforme dédiée 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Aucune visibilité consolidée</w:t>
      </w:r>
      <w:r>
        <w:t xml:space="preserve"> </w:t>
      </w:r>
      <w:r>
        <w:t xml:space="preserve">sur le budget pièces par engin, par chantier ou par catégorie (camions vs pelles vs pickups).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Les engins « gouffres » se cachent</w:t>
      </w:r>
      <w:r>
        <w:t xml:space="preserve"> </w:t>
      </w:r>
      <w:r>
        <w:t xml:space="preserve">— 10 à 15 % de votre flotte consomme 35 à 40 % du budget pièces. Sans rotation décidée, vous payez deux fois la dépréciation et la maintenance.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Approvisionnement urgent fragile</w:t>
      </w:r>
      <w:r>
        <w:t xml:space="preserve"> </w:t>
      </w:r>
      <w:r>
        <w:t xml:space="preserve">— une pompe hydraulique sur Hitachi commandée en urgence à Abidjan met 5 à 8 jours pour arriver à San-Pédro. Le chantier attend.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Comptabilité dispersée</w:t>
      </w:r>
      <w:r>
        <w:t xml:space="preserve"> </w:t>
      </w:r>
      <w:r>
        <w:t xml:space="preserve">— chaque chantier achète localement, chaque fournisseur émet sa propre facture. Le DAF passe 6 à 8 jours par mois à reconstituer la TVA récupérable. Conformité DGI/FNE-CI difficile à garantir.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Pneus camions et engins</w:t>
      </w:r>
      <w:r>
        <w:t xml:space="preserve"> </w:t>
      </w:r>
      <w:r>
        <w:t xml:space="preserve">— le plus gros poste hors carburant (300 à 600 millions de FCFA/an sur 800 véhicules). Aucune comparaison structurée fournisseur par fournisseur.</w:t>
      </w:r>
    </w:p>
    <w:p>
      <w:pPr>
        <w:pStyle w:val="FirstParagraph"/>
      </w:pPr>
      <w:r>
        <w:t xml:space="preserve">À 800 véhicules BTP,</w:t>
      </w:r>
      <w:r>
        <w:t xml:space="preserve"> </w:t>
      </w:r>
      <w:r>
        <w:rPr>
          <w:b/>
          <w:bCs/>
        </w:rPr>
        <w:t xml:space="preserve">éviter 2 jours d’immobilisation par engin lourd et par an = 50 à 100 millions de FCFA d’opex récupérés</w:t>
      </w:r>
      <w:r>
        <w:t xml:space="preserve">. Et c’est avant de compter les pénalités contractuelles évitées.</w:t>
      </w:r>
    </w:p>
    <w:bookmarkEnd w:id="20"/>
    <w:bookmarkStart w:id="27" w:name="ce-que-pièces-apporte-à-votre-échelle"/>
    <w:p>
      <w:pPr>
        <w:pStyle w:val="Heading2"/>
      </w:pPr>
      <w:r>
        <w:t xml:space="preserve">Ce que Pièces apporte à votre échelle</w:t>
      </w:r>
    </w:p>
    <w:bookmarkStart w:id="21" w:name="Xbf12c62684481f5e8e77fd17bcf227a2d90a1f0"/>
    <w:p>
      <w:pPr>
        <w:pStyle w:val="Heading3"/>
      </w:pPr>
      <w:r>
        <w:t xml:space="preserve">1. Une marketplace consolidée + sourcing engins lourds</w:t>
      </w:r>
    </w:p>
    <w:p>
      <w:pPr>
        <w:pStyle w:val="FirstParagraph"/>
      </w:pPr>
      <w:r>
        <w:t xml:space="preserve">Plus de 200 fournisseurs pièces auto + un sourcing dédié sur les</w:t>
      </w:r>
      <w:r>
        <w:t xml:space="preserve"> </w:t>
      </w:r>
      <w:r>
        <w:rPr>
          <w:b/>
          <w:bCs/>
        </w:rPr>
        <w:t xml:space="preserve">pièces engins lourds</w:t>
      </w:r>
      <w:r>
        <w:t xml:space="preserve"> </w:t>
      </w:r>
      <w:r>
        <w:t xml:space="preserve">(Caterpillar, Komatsu, Hitachi, Liebherr, Volvo Construction). Vos chefs de chantier accèdent au même catalogue et au même prix, à Abidjan comme à San-Pédro ou Bouaké.</w:t>
      </w:r>
    </w:p>
    <w:p>
      <w:pPr>
        <w:pStyle w:val="Compact"/>
        <w:numPr>
          <w:ilvl w:val="0"/>
          <w:numId w:val="1003"/>
        </w:numPr>
      </w:pPr>
      <w:r>
        <w:t xml:space="preserve">Catalogue compatibilité par marque / modèle / numéro de série (engins)</w:t>
      </w:r>
    </w:p>
    <w:p>
      <w:pPr>
        <w:pStyle w:val="Compact"/>
        <w:numPr>
          <w:ilvl w:val="0"/>
          <w:numId w:val="1003"/>
        </w:numPr>
      </w:pPr>
      <w:r>
        <w:t xml:space="preserve">Comparateur enrichi : prix + délai + scoring qualité fournisseur</w:t>
      </w:r>
    </w:p>
    <w:p>
      <w:pPr>
        <w:pStyle w:val="Compact"/>
        <w:numPr>
          <w:ilvl w:val="0"/>
          <w:numId w:val="1003"/>
        </w:numPr>
      </w:pPr>
      <w:r>
        <w:t xml:space="preserve">Garantie pièce intermédiée — vous ne négociez plus avec le fournisseur en cas de défaut</w:t>
      </w:r>
    </w:p>
    <w:p>
      <w:pPr>
        <w:pStyle w:val="Compact"/>
        <w:numPr>
          <w:ilvl w:val="0"/>
          <w:numId w:val="1003"/>
        </w:numPr>
      </w:pPr>
      <w:r>
        <w:t xml:space="preserve">Workflow retours structuré (référence erronée, défaut constaté en pose, etc.)</w:t>
      </w:r>
    </w:p>
    <w:bookmarkEnd w:id="21"/>
    <w:bookmarkStart w:id="22" w:name="pilotage-de-flotte-multi-chantiers"/>
    <w:p>
      <w:pPr>
        <w:pStyle w:val="Heading3"/>
      </w:pPr>
      <w:r>
        <w:t xml:space="preserve">2. Pilotage de flotte multi-chantiers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Tableau de bord par chantier</w:t>
      </w:r>
      <w:r>
        <w:t xml:space="preserve"> </w:t>
      </w:r>
      <w:r>
        <w:t xml:space="preserve">— chaque site/centre de maintenance a sa vue dédiée. Le chef de chantier voit son parc, le siège voit tout.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Détection automatique des engins « gouffres »</w:t>
      </w:r>
      <w:r>
        <w:t xml:space="preserve"> </w:t>
      </w:r>
      <w:r>
        <w:t xml:space="preserve">(coût &gt; 1,5× la moyenne flotte similaire). Vous décidez : recondition, sortie de rotation, revente.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Fiche véhicule enrichie</w:t>
      </w:r>
      <w:r>
        <w:t xml:space="preserve"> </w:t>
      </w:r>
      <w:r>
        <w:t xml:space="preserve">— coût cumulé, coût/km ou coût/heure (engins), comparaison vs flotte similaire, graphique 12 mois.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Reporting avancé</w:t>
      </w:r>
      <w:r>
        <w:t xml:space="preserve"> </w:t>
      </w:r>
      <w:r>
        <w:t xml:space="preserve">— coût par catégorie (camions vs engins vs pickups), par chantier, par mois.</w:t>
      </w:r>
    </w:p>
    <w:bookmarkEnd w:id="22"/>
    <w:bookmarkStart w:id="23" w:name="X250c28a31cda89a5ee44a0a21eab6907362110e"/>
    <w:p>
      <w:pPr>
        <w:pStyle w:val="Heading3"/>
      </w:pPr>
      <w:r>
        <w:t xml:space="preserve">3. Maintenance prédictive sur engins critiques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Alertes prédictives multi-canal</w:t>
      </w:r>
      <w:r>
        <w:t xml:space="preserve"> </w:t>
      </w:r>
      <w:r>
        <w:t xml:space="preserve">sur les références critiques engins : huile hydraulique 250 h / 500 h, filtres, transmissions, courroies, plaquettes.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Stock tampon</w:t>
      </w:r>
      <w:r>
        <w:t xml:space="preserve"> </w:t>
      </w:r>
      <w:r>
        <w:t xml:space="preserve">: Pièces préreserve chez ses partenaires les SKU critiques sur vos engins prioritaires (vidange Komatsu, filtres Caterpillar, plaquettes camions Volvo). Plus jamais de chantier à l’arrêt sur une référence courante.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Planning de livraison hebdomadaire</w:t>
      </w:r>
      <w:r>
        <w:t xml:space="preserve"> </w:t>
      </w:r>
      <w:r>
        <w:t xml:space="preserve">par chantier — le livreur Pièces passe une fois par semaine à San-Pédro / Bouaké / Korhogo selon votre besoin.</w:t>
      </w:r>
    </w:p>
    <w:bookmarkEnd w:id="23"/>
    <w:bookmarkStart w:id="24" w:name="conformité-fiscale-dgi-à-grande-échelle"/>
    <w:p>
      <w:pPr>
        <w:pStyle w:val="Heading3"/>
      </w:pPr>
      <w:r>
        <w:t xml:space="preserve">4. Conformité fiscale DGI à grande échelle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Factures normalisées DGI</w:t>
      </w:r>
      <w:r>
        <w:t xml:space="preserve"> </w:t>
      </w:r>
      <w:r>
        <w:t xml:space="preserve">sur chaque commande (passerelle FNE-CI en intégration).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Facture mensuelle consolidée</w:t>
      </w:r>
      <w:r>
        <w:t xml:space="preserve"> </w:t>
      </w:r>
      <w:r>
        <w:t xml:space="preserve">par entité juridique — un seul PDF récapitulatif TVA détachée, ventilé par chantier, véhicule, vendeur.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Export FEC compatible logiciel comptable</w:t>
      </w:r>
      <w:r>
        <w:t xml:space="preserve"> </w:t>
      </w:r>
      <w:r>
        <w:t xml:space="preserve">(SAP, Sage, Ciel, Cegid) — votre DAF importe en un clic.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Module optimisation fiscale</w:t>
      </w:r>
      <w:r>
        <w:t xml:space="preserve"> </w:t>
      </w:r>
      <w:r>
        <w:t xml:space="preserve">: ventilation pièces / entretien / réparation, calcul TVA récupérable.</w:t>
      </w:r>
    </w:p>
    <w:p>
      <w:pPr>
        <w:pStyle w:val="Compact"/>
        <w:numPr>
          <w:ilvl w:val="0"/>
          <w:numId w:val="1006"/>
        </w:numPr>
      </w:pPr>
      <w:r>
        <w:t xml:space="preserve">Pour une flotte BTP de 800 véhicules au régime du réel,</w:t>
      </w:r>
      <w:r>
        <w:t xml:space="preserve"> </w:t>
      </w:r>
      <w:r>
        <w:rPr>
          <w:b/>
          <w:bCs/>
        </w:rPr>
        <w:t xml:space="preserve">1 à 2 % d’économie d’impôt sur le budget pièces annuel = 3 à 8 M FCFA récupérés</w:t>
      </w:r>
      <w:r>
        <w:t xml:space="preserve">.</w:t>
      </w:r>
    </w:p>
    <w:bookmarkEnd w:id="24"/>
    <w:bookmarkStart w:id="25" w:name="couche-urgence-chantier-flotte-pro"/>
    <w:p>
      <w:pPr>
        <w:pStyle w:val="Heading3"/>
      </w:pPr>
      <w:r>
        <w:t xml:space="preserve">5. Couche urgence chantier (Flotte Pro +)</w:t>
      </w:r>
    </w:p>
    <w:p>
      <w:pPr>
        <w:pStyle w:val="FirstParagraph"/>
      </w:pPr>
      <w:r>
        <w:t xml:space="preserve">Pour les engins sur lesquels une journée d’immobilisation coûte 200 à 500 000 FCFA 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Livraison express prioritaire à Abidjan</w:t>
      </w:r>
      <w:r>
        <w:t xml:space="preserve"> </w:t>
      </w:r>
      <w:r>
        <w:t xml:space="preserve">: notre équipe dédiée livre le plus rapidement possible quand la pièce est en stock chez un partenaire.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Livraison prioritaire hors Abidjan</w:t>
      </w:r>
      <w:r>
        <w:t xml:space="preserve"> </w:t>
      </w:r>
      <w:r>
        <w:t xml:space="preserve">(San-Pédro, Bouaké, Yamoussoukro, Korhogo,</w:t>
      </w:r>
      <w:r>
        <w:t xml:space="preserve"> </w:t>
      </w:r>
      <w:r>
        <w:rPr>
          <w:b/>
          <w:bCs/>
        </w:rPr>
        <w:t xml:space="preserve">+ extension trimestrielle vers les sites miniers</w:t>
      </w:r>
      <w:r>
        <w:t xml:space="preserve"> </w:t>
      </w:r>
      <w:r>
        <w:t xml:space="preserve">: Tongon, Ity, Bonikro à la demande).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Pickup prioritaire</w:t>
      </w:r>
      <w:r>
        <w:t xml:space="preserve"> </w:t>
      </w:r>
      <w:r>
        <w:t xml:space="preserve">chez le vendeur le plus rapidement possible.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Ligne WhatsApp dédiée 6 h – 22 h, 7 j / 7</w:t>
      </w:r>
      <w:r>
        <w:t xml:space="preserve"> </w:t>
      </w:r>
      <w:r>
        <w:t xml:space="preserve">avec un Liaison senior affecté à votre compte.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Concierge dépannage</w:t>
      </w:r>
      <w:r>
        <w:t xml:space="preserve"> </w:t>
      </w:r>
      <w:r>
        <w:t xml:space="preserve">: appel direct, Pièces source la pièce (même hors catalogue, même import express depuis la France ou Dubaï pour les références rares engins lourds) et l’achemine au chantier.</w:t>
      </w:r>
    </w:p>
    <w:bookmarkEnd w:id="25"/>
    <w:bookmarkStart w:id="26" w:name="intégration-outils-existants"/>
    <w:p>
      <w:pPr>
        <w:pStyle w:val="Heading3"/>
      </w:pPr>
      <w:r>
        <w:t xml:space="preserve">6. Intégration outils existants</w:t>
      </w:r>
    </w:p>
    <w:p>
      <w:pPr>
        <w:pStyle w:val="Compact"/>
        <w:numPr>
          <w:ilvl w:val="0"/>
          <w:numId w:val="1008"/>
        </w:numPr>
      </w:pPr>
      <w:r>
        <w:t xml:space="preserve">Export FEC pour la comptabilité (SAP, Sage, Ciel, Cegid)</w:t>
      </w:r>
    </w:p>
    <w:p>
      <w:pPr>
        <w:pStyle w:val="Compact"/>
        <w:numPr>
          <w:ilvl w:val="0"/>
          <w:numId w:val="1008"/>
        </w:numPr>
      </w:pPr>
      <w:r>
        <w:t xml:space="preserve">Import CSV depuis votre GMAO actuelle (Maximo, Coswin, ManWinWin)</w:t>
      </w:r>
    </w:p>
    <w:p>
      <w:pPr>
        <w:pStyle w:val="Compact"/>
        <w:numPr>
          <w:ilvl w:val="0"/>
          <w:numId w:val="1008"/>
        </w:numPr>
      </w:pPr>
      <w:r>
        <w:t xml:space="preserve">API documentée pour intégration custom (sur Flotte Pro +)</w:t>
      </w:r>
    </w:p>
    <w:p>
      <w:pPr>
        <w:pStyle w:val="Compact"/>
        <w:numPr>
          <w:ilvl w:val="0"/>
          <w:numId w:val="1008"/>
        </w:numPr>
      </w:pPr>
      <w:r>
        <w:t xml:space="preserve">Webhooks d’événements (commande passée, livrée, retournée)</w:t>
      </w:r>
    </w:p>
    <w:bookmarkEnd w:id="26"/>
    <w:bookmarkEnd w:id="27"/>
    <w:bookmarkStart w:id="28" w:name="Xac2b39f39c0b08458e9de3e2b01dc1e69ab6a0a"/>
    <w:p>
      <w:pPr>
        <w:pStyle w:val="Heading2"/>
      </w:pPr>
      <w:r>
        <w:t xml:space="preserve">L’économie projetée pour 800 véhicules BTP</w:t>
      </w:r>
    </w:p>
    <w:p>
      <w:pPr>
        <w:pStyle w:val="FirstParagraph"/>
      </w:pPr>
      <w:r>
        <w:t xml:space="preserve">Hypothèses prudentes pour un mix BTP standard (60 % camions, 30 % engins lourds, 10 % pickups), budget moyen 350 000 FCFA/véh/an 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Levier</w:t>
            </w:r>
          </w:p>
        </w:tc>
        <w:tc>
          <w:tcPr/>
          <w:p>
            <w:pPr>
              <w:pStyle w:val="Compact"/>
            </w:pPr>
            <w:r>
              <w:t xml:space="preserve">Économie annuelle estimée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Comparateur multi-fournisseurs (20 % vs prix chantier local)</w:t>
            </w:r>
          </w:p>
        </w:tc>
        <w:tc>
          <w:tcPr/>
          <w:p>
            <w:pPr>
              <w:pStyle w:val="Compact"/>
            </w:pPr>
            <w:r>
              <w:t xml:space="preserve">56 M FCFA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Sourcing engins lourds optimisé (5 % du budget engins)</w:t>
            </w:r>
          </w:p>
        </w:tc>
        <w:tc>
          <w:tcPr/>
          <w:p>
            <w:pPr>
              <w:pStyle w:val="Compact"/>
            </w:pPr>
            <w:r>
              <w:t xml:space="preserve">6–10 M FCFA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Détection engins « gouffres » + sortie de rotation</w:t>
            </w:r>
          </w:p>
        </w:tc>
        <w:tc>
          <w:tcPr/>
          <w:p>
            <w:pPr>
              <w:pStyle w:val="Compact"/>
            </w:pPr>
            <w:r>
              <w:t xml:space="preserve">15–25 M FCFA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Maintenance prédictive vs réactive (5 % du budget)</w:t>
            </w:r>
          </w:p>
        </w:tc>
        <w:tc>
          <w:tcPr/>
          <w:p>
            <w:pPr>
              <w:pStyle w:val="Compact"/>
            </w:pPr>
            <w:r>
              <w:t xml:space="preserve">14 M FCFA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Réduction immobilisation engins lourds : 2 j/véh × 200 000 F</w:t>
            </w:r>
          </w:p>
        </w:tc>
        <w:tc>
          <w:tcPr/>
          <w:p>
            <w:pPr>
              <w:pStyle w:val="Compact"/>
            </w:pPr>
            <w:r>
              <w:t xml:space="preserve">96 M FCFA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Optimisation fiscale (TVA mieux récupérée + FEC propre)</w:t>
            </w:r>
          </w:p>
        </w:tc>
        <w:tc>
          <w:tcPr/>
          <w:p>
            <w:pPr>
              <w:pStyle w:val="Compact"/>
            </w:pPr>
            <w:r>
              <w:t xml:space="preserve">3–8 M FCFA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Pneus camions/engins — négociation flotte structurée (5 %)</w:t>
            </w:r>
          </w:p>
        </w:tc>
        <w:tc>
          <w:tcPr/>
          <w:p>
            <w:pPr>
              <w:pStyle w:val="Compact"/>
            </w:pPr>
            <w:r>
              <w:t xml:space="preserve">15–30 M FCFA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économies projetées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205–239 M FCFA / an</w:t>
            </w:r>
          </w:p>
        </w:tc>
      </w:tr>
    </w:tbl>
    <w:p>
      <w:pPr>
        <w:pStyle w:val="BodyText"/>
      </w:pPr>
      <w:r>
        <w:t xml:space="preserve">Au choix de tier 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Coût mensuel (800 véh)</w:t>
            </w:r>
          </w:p>
        </w:tc>
        <w:tc>
          <w:tcPr/>
          <w:p>
            <w:pPr>
              <w:pStyle w:val="Compact"/>
            </w:pPr>
            <w:r>
              <w:t xml:space="preserve">Coût annuel (mensuel)</w:t>
            </w:r>
          </w:p>
        </w:tc>
        <w:tc>
          <w:tcPr/>
          <w:p>
            <w:pPr>
              <w:pStyle w:val="Compact"/>
            </w:pPr>
            <w:r>
              <w:t xml:space="preserve">Coût annuel (paiement annuel, 2 mois offerts)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Flotte Pro · 5 000 F/véh/mois</w:t>
            </w:r>
          </w:p>
        </w:tc>
        <w:tc>
          <w:tcPr/>
          <w:p>
            <w:pPr>
              <w:pStyle w:val="Compact"/>
            </w:pPr>
            <w:r>
              <w:t xml:space="preserve">4 M FCFA</w:t>
            </w:r>
          </w:p>
        </w:tc>
        <w:tc>
          <w:tcPr/>
          <w:p>
            <w:pPr>
              <w:pStyle w:val="Compact"/>
            </w:pPr>
            <w:r>
              <w:t xml:space="preserve">48 M FCFA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40 M FCFA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Flotte Pro + · 10 000 F/véh/mois</w:t>
            </w:r>
          </w:p>
        </w:tc>
        <w:tc>
          <w:tcPr/>
          <w:p>
            <w:pPr>
              <w:pStyle w:val="Compact"/>
            </w:pPr>
            <w:r>
              <w:t xml:space="preserve">8 M FCFA</w:t>
            </w:r>
          </w:p>
        </w:tc>
        <w:tc>
          <w:tcPr/>
          <w:p>
            <w:pPr>
              <w:pStyle w:val="Compact"/>
            </w:pPr>
            <w:r>
              <w:t xml:space="preserve">96 M FCFA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80 M FCFA</w:t>
            </w:r>
          </w:p>
        </w:tc>
      </w:tr>
    </w:tbl>
    <w:p>
      <w:pPr>
        <w:pStyle w:val="BodyText"/>
      </w:pPr>
      <w:r>
        <w:t xml:space="preserve">ROI net projeté 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Flotte Pro</w:t>
      </w:r>
      <w:r>
        <w:t xml:space="preserve"> </w:t>
      </w:r>
      <w:r>
        <w:t xml:space="preserve">: +165 à +199 M FCFA/an (ROI ×5,1 à ×6,0)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Flotte Pro +</w:t>
      </w:r>
      <w:r>
        <w:t xml:space="preserve"> </w:t>
      </w:r>
      <w:r>
        <w:t xml:space="preserve">: +125 à +159 M FCFA/an (ROI ×2,6 à ×3,0) — le surcoût du tier + est largement couvert par l’économie d’immobilisation chantier (les pénalités contractuelles évitées ne sont pas comptabilisées dans le tableau, elles s’ajoutent).</w:t>
      </w:r>
    </w:p>
    <w:p>
      <w:pPr>
        <w:pStyle w:val="BodyText"/>
      </w:pPr>
      <w:r>
        <w:t xml:space="preserve">À l’échelle BTP,</w:t>
      </w:r>
      <w:r>
        <w:t xml:space="preserve"> </w:t>
      </w:r>
      <w:r>
        <w:rPr>
          <w:b/>
          <w:bCs/>
        </w:rPr>
        <w:t xml:space="preserve">Flotte Pro + est généralement le bon choix</w:t>
      </w:r>
      <w:r>
        <w:t xml:space="preserve"> </w:t>
      </w:r>
      <w:r>
        <w:t xml:space="preserve">: la valeur d’un jour d’immobilisation d’engin lourd justifie 10 fois le surcoût de la livraison express prioritaire.</w:t>
      </w:r>
    </w:p>
    <w:bookmarkEnd w:id="28"/>
    <w:bookmarkStart w:id="29" w:name="pourquoi-maintenant"/>
    <w:p>
      <w:pPr>
        <w:pStyle w:val="Heading2"/>
      </w:pPr>
      <w:r>
        <w:t xml:space="preserve">Pourquoi maintenant</w:t>
      </w:r>
    </w:p>
    <w:p>
      <w:pPr>
        <w:pStyle w:val="Compact"/>
        <w:numPr>
          <w:ilvl w:val="0"/>
          <w:numId w:val="1009"/>
        </w:numPr>
      </w:pPr>
      <w:r>
        <w:t xml:space="preserve">Pièces lance le packaging entreprise au S1 2026. Vous bénéficiez du</w:t>
      </w:r>
      <w:r>
        <w:t xml:space="preserve"> </w:t>
      </w:r>
      <w:r>
        <w:rPr>
          <w:b/>
          <w:bCs/>
        </w:rPr>
        <w:t xml:space="preserve">statut de partenaire grand compte BTP</w:t>
      </w:r>
      <w:r>
        <w:t xml:space="preserve"> </w:t>
      </w:r>
      <w:r>
        <w:t xml:space="preserve">— accès direct à l’équipe produit, priorisation des features engins lourds que vous demanderez, conditions de lancement préférentielles sur le contrat-cadre.</w:t>
      </w:r>
    </w:p>
    <w:p>
      <w:pPr>
        <w:pStyle w:val="Compact"/>
        <w:numPr>
          <w:ilvl w:val="0"/>
          <w:numId w:val="1009"/>
        </w:numPr>
      </w:pPr>
      <w:r>
        <w:t xml:space="preserve">La</w:t>
      </w:r>
      <w:r>
        <w:t xml:space="preserve"> </w:t>
      </w:r>
      <w:r>
        <w:rPr>
          <w:b/>
          <w:bCs/>
        </w:rPr>
        <w:t xml:space="preserve">garantie ROI 3 mois</w:t>
      </w:r>
      <w:r>
        <w:t xml:space="preserve"> </w:t>
      </w:r>
      <w:r>
        <w:t xml:space="preserve">s’applique : si à 3 mois Flotte Pro n’a pas fait économiser au moins l’équivalent de l’abonnement, Pièces rembourse la dernière mensualité et le contrat est résiliable sans pénalité.</w:t>
      </w:r>
    </w:p>
    <w:p>
      <w:pPr>
        <w:pStyle w:val="Compact"/>
        <w:numPr>
          <w:ilvl w:val="0"/>
          <w:numId w:val="1009"/>
        </w:numPr>
      </w:pPr>
      <w:r>
        <w:t xml:space="preserve">Le marché BTP ivoirien reste tendu — chaque journée gagnée sur un chantier maintient votre marge dans un environnement de pression sur les prix.</w:t>
      </w:r>
    </w:p>
    <w:bookmarkEnd w:id="29"/>
    <w:bookmarkStart w:id="30" w:name="prochaines-étapes"/>
    <w:p>
      <w:pPr>
        <w:pStyle w:val="Heading2"/>
      </w:pPr>
      <w:r>
        <w:t xml:space="preserve">Prochaines étapes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Réunion de cadrage</w:t>
      </w:r>
      <w:r>
        <w:t xml:space="preserve"> </w:t>
      </w:r>
      <w:r>
        <w:t xml:space="preserve">(1 h) — audit rapide de votre parc, identification des chantiers prioritaires pour le déploiement initial.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Déploiement initial</w:t>
      </w:r>
      <w:r>
        <w:t xml:space="preserve"> </w:t>
      </w:r>
      <w:r>
        <w:t xml:space="preserve">sur 1 à 2 chantiers (50 à 100 véhicules/engins) — toutes les fonctionnalités activées, avec mesure des gains dès le premier mois.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Bilan du déploiement initial + offre commerciale détaillée</w:t>
      </w:r>
      <w:r>
        <w:t xml:space="preserve"> </w:t>
      </w:r>
      <w:r>
        <w:t xml:space="preserve">— projection chiffrée sur votre parc complet, ajustements opérationnels, gouvernance contrat-cadre.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Roll-out progressif</w:t>
      </w:r>
      <w:r>
        <w:t xml:space="preserve"> </w:t>
      </w:r>
      <w:r>
        <w:t xml:space="preserve">sur l’ensemble du parc — un Liaison senior dédié, intégration GMAO, formation des chefs de chantier, mise en place stock tampon SKU critiques.</w:t>
      </w:r>
    </w:p>
    <w:bookmarkEnd w:id="30"/>
    <w:bookmarkStart w:id="31" w:name="contact"/>
    <w:p>
      <w:pPr>
        <w:pStyle w:val="Heading2"/>
      </w:pPr>
      <w:r>
        <w:t xml:space="preserve">Contact</w:t>
      </w:r>
    </w:p>
    <w:p>
      <w:pPr>
        <w:pStyle w:val="FirstParagraph"/>
      </w:pPr>
      <w:r>
        <w:rPr>
          <w:b/>
          <w:bCs/>
        </w:rPr>
        <w:t xml:space="preserve">Fernando Kouamé</w:t>
      </w:r>
      <w:r>
        <w:t xml:space="preserve"> </w:t>
      </w:r>
      <w:r>
        <w:t xml:space="preserve">Fondateur, Pièces.ci</w:t>
      </w:r>
      <w:r>
        <w:t xml:space="preserve"> </w:t>
      </w:r>
      <w:r>
        <w:t xml:space="preserve">fernando.kouame@gmail.com</w:t>
      </w:r>
    </w:p>
    <w:p>
      <w:pPr>
        <w:pStyle w:val="BodyText"/>
      </w:pPr>
      <w:r>
        <w:rPr>
          <w:i/>
          <w:iCs/>
        </w:rPr>
        <w:t xml:space="preserve">Ce document est confidentiel et destiné exclusivement à [Nom de l’entreprise BTP]. Les projections sont indicatives et fondées sur des hypothèses prudentes pour un mix BTP standard ; l’offre commerciale finale sera adaptée après audit du parc et identification des engins prioritaires.</w:t>
      </w:r>
    </w:p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2026-07-17T21:15:37Z</dcterms:created>
  <dcterms:modified xsi:type="dcterms:W3CDTF">2026-07-17T21:15:37Z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