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56bfdba25b762faeb6a14d864e012003459e7d9"/>
    <w:p>
      <w:pPr>
        <w:pStyle w:val="Heading1"/>
      </w:pPr>
      <w:r>
        <w:t xml:space="preserve">Offre commerciale — Pièces pour [Nom de l’entreprise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l’entreprise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d’Ivoire. Cette offre n’est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synthèse-de-loffre"/>
    <w:p>
      <w:pPr>
        <w:pStyle w:val="Heading2"/>
      </w:pPr>
      <w:r>
        <w:t xml:space="preserve">1. Synthèse de l’offre</w:t>
      </w:r>
    </w:p>
    <w:p>
      <w:pPr>
        <w:pStyle w:val="FirstParagraph"/>
      </w:pPr>
      <w:r>
        <w:t xml:space="preserve">Pièces.ci propose à [Nom de l’entreprise BTP]</w:t>
      </w:r>
      <w:r>
        <w:t xml:space="preserve"> </w:t>
      </w:r>
      <w:r>
        <w:rPr>
          <w:b/>
          <w:bCs/>
        </w:rPr>
        <w:t xml:space="preserve">un contrat d’abonnement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d’avance)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prioritaire à Abidjan : notre équipe dédiée livre le plus rapidement possible,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L’offre n’est pas publique</w:t>
      </w:r>
      <w:r>
        <w:t xml:space="preserve"> </w:t>
      </w:r>
      <w:r>
        <w:t xml:space="preserve">et ne fait l’objet d’aucune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périmètre-fonctionnel-inclus"/>
    <w:p>
      <w:pPr>
        <w:pStyle w:val="Heading2"/>
      </w:pPr>
      <w:r>
        <w:t xml:space="preserve">2. Périmètre fonctionnel inclus</w:t>
      </w:r>
    </w:p>
    <w:bookmarkStart w:id="21" w:name="X06e58b6f10acdbbabd57be84da0848c713161da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d’usage,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a408a4f6b8acad958aa08993a01bbce0400d94e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prioritaire à Abidjan</w:t>
      </w:r>
      <w:r>
        <w:t xml:space="preserve"> </w:t>
      </w:r>
      <w:r>
        <w:t xml:space="preserve">: notre équipe dédiée livre le plus rapidement possible 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le plus rapidement possible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d’événements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modalités-de-paiement-et-de-facturation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d’avance,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l’optimisation cash-flow.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l’activation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d’effet du contrat</w:t>
      </w:r>
    </w:p>
    <w:p>
      <w:pPr>
        <w:pStyle w:val="Compact"/>
        <w:numPr>
          <w:ilvl w:val="0"/>
          <w:numId w:val="1005"/>
        </w:numPr>
      </w:pPr>
      <w:r>
        <w:t xml:space="preserve">En cas d’impayé après 60 jours, l’abonnement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ngagements-de-service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28"/>
    <w:bookmarkStart w:id="29" w:name="flotte-pro-en-plus"/>
    <w:p>
      <w:pPr>
        <w:pStyle w:val="Heading3"/>
      </w:pPr>
      <w:r>
        <w:t xml:space="preserve">Flotte Pro + (en plus)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plus rapidement possible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prioritaire,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garantie-roi-3-mois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d’utilisation effective de Flotte Pro, [Nom de l’entreprise BTP] n’a pas constaté d’économies pièces au moins égales au coût de l’abonnement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d’application :</w:t>
      </w:r>
      <w:r>
        <w:t xml:space="preserve"> </w:t>
      </w:r>
      <w:r>
        <w:t xml:space="preserve">- Importer l’intégralité de la flotte dans Pièces dans les 30 premiers jours.</w:t>
      </w:r>
      <w:r>
        <w:t xml:space="preserve"> </w:t>
      </w:r>
      <w:r>
        <w:t xml:space="preserve">- Passer les commandes pièces exclusivement via la plateforme Pièces sur la période d’évaluation.</w:t>
      </w:r>
      <w:r>
        <w:t xml:space="preserve"> </w:t>
      </w:r>
      <w:r>
        <w:t xml:space="preserve">- Méthodologie de calcul d’économies partagée contradictoirement avec l’équipe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mise-en-service"/>
    <w:p>
      <w:pPr>
        <w:pStyle w:val="Heading2"/>
      </w:pPr>
      <w:r>
        <w:t xml:space="preserve">6. Mise en service</w:t>
      </w:r>
    </w:p>
    <w:bookmarkStart w:id="32" w:name="X11584e4514da7e9e6b0e93b4e3b232137ff4813"/>
    <w:p>
      <w:pPr>
        <w:pStyle w:val="Heading3"/>
      </w:pPr>
      <w:r>
        <w:t xml:space="preserve">Phase de déploiement initial (premier mois de mesure)</w:t>
      </w:r>
    </w:p>
    <w:p>
      <w:pPr>
        <w:pStyle w:val="Compact"/>
        <w:numPr>
          <w:ilvl w:val="0"/>
          <w:numId w:val="1006"/>
        </w:numPr>
      </w:pPr>
      <w:r>
        <w:t xml:space="preserve">Déploiement initial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l’entreprise BTP] (typiquement 50 à 100 véhicules/engins)</w:t>
      </w:r>
    </w:p>
    <w:p>
      <w:pPr>
        <w:pStyle w:val="Compact"/>
        <w:numPr>
          <w:ilvl w:val="0"/>
          <w:numId w:val="1006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Tarif mensuel sans engagement, vous voyez la valeur dès le premier mois : économies sur les pièces, administration DGI allégée, moins d’immobilisation chantier</w:t>
      </w:r>
    </w:p>
    <w:p>
      <w:pPr>
        <w:pStyle w:val="Compact"/>
        <w:numPr>
          <w:ilvl w:val="0"/>
          <w:numId w:val="1006"/>
        </w:numPr>
      </w:pPr>
      <w:r>
        <w:t xml:space="preserve">Accompagnement par un Liaison senior + un membre de l’équipe produit Pièces, présence terrain au démarrage</w:t>
      </w:r>
    </w:p>
    <w:bookmarkEnd w:id="32"/>
    <w:bookmarkStart w:id="33" w:name="phase-roll-out-t0-30-à-t0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7"/>
        </w:numPr>
      </w:pPr>
      <w:r>
        <w:t xml:space="preserve">Import CSV de la flotte complète (800 véhicules/engins) — format simple : marque, modèle, année, immatriculation ou numéro de série, h ou km, type d’usage, chantier d’affectation</w:t>
      </w:r>
    </w:p>
    <w:p>
      <w:pPr>
        <w:pStyle w:val="Compact"/>
        <w:numPr>
          <w:ilvl w:val="0"/>
          <w:numId w:val="1007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7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7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7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33"/>
    <w:bookmarkStart w:id="34" w:name="Xa12315f9e3875362c600f5395503a0e07671827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8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8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8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éversibilité-et-sortie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09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09"/>
        </w:numPr>
      </w:pPr>
      <w:r>
        <w:t xml:space="preserve">Données : export complet CSV / FEC à la sortie (historique commandes, factures, fiches véhicules/engins, alertes maintenance, plans d’entretien).</w:t>
      </w:r>
    </w:p>
    <w:p>
      <w:pPr>
        <w:pStyle w:val="Compact"/>
        <w:numPr>
          <w:ilvl w:val="0"/>
          <w:numId w:val="1009"/>
        </w:numPr>
      </w:pPr>
      <w:r>
        <w:t xml:space="preserve">Aucune clause d’exclusivité — [Nom de l’entreprise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36"/>
    <w:bookmarkStart w:id="37" w:name="recommandation-pièces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d’Ivoire,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  <w:r>
        <w:t xml:space="preserve"> </w:t>
      </w:r>
      <w:r>
        <w:t xml:space="preserve">- 400 véh en Flotte Pro + : 40 M FCFA/an (annuel)</w:t>
      </w:r>
      <w:r>
        <w:t xml:space="preserve"> </w:t>
      </w:r>
      <w:r>
        <w:t xml:space="preserve">- 400 véh en Flotte Pro : 20 M FCFA/an (annuel)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BodyText"/>
      </w:pPr>
      <w:r>
        <w:t xml:space="preserve">Cette approche permet de concentrer la valeur de la livraison express prioritaire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37"/>
    <w:bookmarkStart w:id="38" w:name="conditions-de-signature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0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0"/>
        </w:numPr>
      </w:pPr>
      <w:r>
        <w:t xml:space="preserve">L’offre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de déploiement initial).</w:t>
      </w:r>
    </w:p>
    <w:p>
      <w:pPr>
        <w:pStyle w:val="Compact"/>
        <w:numPr>
          <w:ilvl w:val="0"/>
          <w:numId w:val="1010"/>
        </w:numPr>
      </w:pPr>
      <w:r>
        <w:t xml:space="preserve">Un contrat-cadre détaillé sera produit à l’issue de la phase de déploiement initial,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38"/>
    <w:bookmarkStart w:id="39" w:name="contact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r>
        <w:t xml:space="preserve">fernando.kouame@gmail.com</w:t>
      </w:r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2026-07-17T21:15:37Z</dcterms:created>
  <dcterms:modified xsi:type="dcterms:W3CDTF">2026-07-17T21:15:37Z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