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624c39c8e667c5f579563853e1351025c21b521"/>
    <w:p>
      <w:pPr>
        <w:pStyle w:val="Heading1"/>
      </w:pPr>
      <w:r>
        <w:t xml:space="preserve">Offre commerciale — Pièces pour [Nom de l’entreprise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PCS-VTC-2026-06-001 · Date : 3 juin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l’entreprise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d’Ivoire. Cette offre n’est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synthèse-de-loffre"/>
    <w:p>
      <w:pPr>
        <w:pStyle w:val="Heading2"/>
      </w:pPr>
      <w:r>
        <w:t xml:space="preserve">1. Synthèse de l’offre</w:t>
      </w:r>
    </w:p>
    <w:p>
      <w:pPr>
        <w:pStyle w:val="FirstParagraph"/>
      </w:pPr>
      <w:r>
        <w:t xml:space="preserve">Pièces.ci propose à [Nom de l’entreprise VTC]</w:t>
      </w:r>
      <w:r>
        <w:t xml:space="preserve"> </w:t>
      </w:r>
      <w:r>
        <w:rPr>
          <w:b/>
          <w:bCs/>
        </w:rPr>
        <w:t xml:space="preserve">un contrat d’abonnement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d’avance)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prioritaire à Abidjan : notre équipe dédiée livre le plus rapidement possible, livraison prioritaire hors Abidjan, ligne WhatsApp dédiée, concierge dépannage).</w:t>
      </w:r>
    </w:p>
    <w:p>
      <w:pPr>
        <w:pStyle w:val="BodyText"/>
      </w:pPr>
      <w:r>
        <w:t xml:space="preserve">Le périmètre Flotte Pro inclut désormais la</w:t>
      </w:r>
      <w:r>
        <w:t xml:space="preserve"> </w:t>
      </w:r>
      <w:r>
        <w:rPr>
          <w:b/>
          <w:bCs/>
        </w:rPr>
        <w:t xml:space="preserve">gestion complète des chauffeurs</w:t>
      </w:r>
      <w:r>
        <w:t xml:space="preserve"> </w:t>
      </w:r>
      <w:r>
        <w:t xml:space="preserve">(enrôlement, affectation, recette quotidienne, incidents, KPIs et espace self-service) — voir §2.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L’offre n’est pas publique</w:t>
      </w:r>
      <w:r>
        <w:t xml:space="preserve"> </w:t>
      </w:r>
      <w:r>
        <w:t xml:space="preserve">et ne fait l’objet d’aucune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périmètre-fonctionnel-inclus"/>
    <w:p>
      <w:pPr>
        <w:pStyle w:val="Heading2"/>
      </w:pPr>
      <w:r>
        <w:t xml:space="preserve">2. Périmètre fonctionnel inclus</w:t>
      </w:r>
    </w:p>
    <w:bookmarkStart w:id="21" w:name="flotte-pro-300-m-fcfa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structurés, cascade marque/modèle/année/motorisation,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Calendrier d’entretien prédictif par véhicule + 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Gestion des chauffeurs (nouveau)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Enrôlement chauffeur (nom, téléphone, permis, photo) + activation par OTP</w:t>
      </w:r>
    </w:p>
    <w:p>
      <w:pPr>
        <w:pStyle w:val="Compact"/>
        <w:numPr>
          <w:ilvl w:val="1"/>
          <w:numId w:val="1002"/>
        </w:numPr>
      </w:pPr>
      <w:r>
        <w:t xml:space="preserve">Affectation chauffeur ↔ véhicule avec historique complet des rotations</w:t>
      </w:r>
    </w:p>
    <w:p>
      <w:pPr>
        <w:pStyle w:val="Compact"/>
        <w:numPr>
          <w:ilvl w:val="1"/>
          <w:numId w:val="1002"/>
        </w:numPr>
      </w:pPr>
      <w:r>
        <w:t xml:space="preserve">Recette quotidienne tracée : CA du jour, carburant, autres dépenses, kilométrage, résultat net calculé</w:t>
      </w:r>
    </w:p>
    <w:p>
      <w:pPr>
        <w:pStyle w:val="Compact"/>
        <w:numPr>
          <w:ilvl w:val="1"/>
          <w:numId w:val="1002"/>
        </w:numPr>
      </w:pPr>
      <w:r>
        <w:t xml:space="preserve">Suivi des incidents (accident, infraction, panne, plainte) qualifiés par gravité et chiffrés</w:t>
      </w:r>
    </w:p>
    <w:p>
      <w:pPr>
        <w:pStyle w:val="Compact"/>
        <w:numPr>
          <w:ilvl w:val="1"/>
          <w:numId w:val="1002"/>
        </w:numPr>
      </w:pPr>
      <w:r>
        <w:t xml:space="preserve">KPIs chauffeur : rentabilité nette, tendance, classement entre chauffeurs et véhicules</w:t>
      </w:r>
    </w:p>
    <w:p>
      <w:pPr>
        <w:pStyle w:val="Compact"/>
        <w:numPr>
          <w:ilvl w:val="1"/>
          <w:numId w:val="1002"/>
        </w:numPr>
      </w:pPr>
      <w:r>
        <w:t xml:space="preserve">Espace chauffeur self-service confidentiel (chaque chauffeur ne voit que ses propres données)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Devis PDF professionnels</w:t>
      </w:r>
      <w:r>
        <w:t xml:space="preserve"> </w:t>
      </w:r>
      <w:r>
        <w:t xml:space="preserve">signés Pièces, générés à la demande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203b0d46bcde3f1016bf7abaf0585f70b7023d1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express prioritaire à Abidjan</w:t>
      </w:r>
      <w:r>
        <w:t xml:space="preserve"> </w:t>
      </w:r>
      <w:r>
        <w:t xml:space="preserve">: notre équipe dédiée livre le plus rapidement possible quand la pièce est en stock chez un partenaire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3"/>
        </w:numPr>
      </w:pPr>
      <w:r>
        <w:t xml:space="preserve">Pickup prioritaire chez le vendeur le plus rapidement possible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modalités-de-paiement-et-de-facturation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d’avance,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l’optimisation du cashflow.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5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5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5"/>
        </w:numPr>
      </w:pPr>
      <w:r>
        <w:t xml:space="preserve">Cartes bancaires entreprise via CinetPay (à la mise en service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6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6"/>
        </w:numPr>
      </w:pPr>
      <w:r>
        <w:t xml:space="preserve">Annuel : payable à la signature ou à la date d’effet du contrat</w:t>
      </w:r>
    </w:p>
    <w:p>
      <w:pPr>
        <w:pStyle w:val="Compact"/>
        <w:numPr>
          <w:ilvl w:val="0"/>
          <w:numId w:val="1006"/>
        </w:numPr>
      </w:pPr>
      <w:r>
        <w:t xml:space="preserve">En cas d’impayé après 60 jours, l’abonnement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ngagements-de-service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28"/>
    <w:bookmarkStart w:id="29" w:name="flotte-pro-en-plus"/>
    <w:p>
      <w:pPr>
        <w:pStyle w:val="Heading3"/>
      </w:pPr>
      <w:r>
        <w:t xml:space="preserve">Flotte Pro + (en plus)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plus rapidement possible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garantie-roi-3-mois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d’utilisation effective de Flotte Pro, [Nom de l’entreprise VTC] n’a pas constaté d’économies pièces au moins égales au coût de l’abonnement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d’application :</w:t>
      </w:r>
      <w:r>
        <w:t xml:space="preserve"> </w:t>
      </w:r>
      <w:r>
        <w:t xml:space="preserve">- L’entreprise doit avoir importé l’intégralité de sa flotte dans Pièces dans les 30 premiers jours.</w:t>
      </w:r>
      <w:r>
        <w:t xml:space="preserve"> </w:t>
      </w:r>
      <w:r>
        <w:t xml:space="preserve">- Les commandes pièces doivent être passées exclusivement via la plateforme Pièces sur la période d’évaluation.</w:t>
      </w:r>
      <w:r>
        <w:t xml:space="preserve"> </w:t>
      </w:r>
      <w:r>
        <w:t xml:space="preserve">- Le calcul d’économies est partagé contradictoirement avec l’équipe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mise-en-service"/>
    <w:p>
      <w:pPr>
        <w:pStyle w:val="Heading2"/>
      </w:pPr>
      <w:r>
        <w:t xml:space="preserve">6. Mise en service</w:t>
      </w:r>
    </w:p>
    <w:bookmarkStart w:id="32" w:name="X11584e4514da7e9e6b0e93b4e3b232137ff4813"/>
    <w:p>
      <w:pPr>
        <w:pStyle w:val="Heading3"/>
      </w:pPr>
      <w:r>
        <w:t xml:space="preserve">Phase de déploiement initial (premier mois de mesure)</w:t>
      </w:r>
    </w:p>
    <w:p>
      <w:pPr>
        <w:pStyle w:val="Compact"/>
        <w:numPr>
          <w:ilvl w:val="0"/>
          <w:numId w:val="1007"/>
        </w:numPr>
      </w:pPr>
      <w:r>
        <w:t xml:space="preserve">Déploiement initial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l’entreprise VTC]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activées, gestion des chauffeurs comprise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Tarif mensuel sans engagement, vous voyez la valeur dès le premier mois : économies sur les pièces, recettes mieux suivies, facturation DGI allégée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l’équipe produit Pièces</w:t>
      </w:r>
    </w:p>
    <w:bookmarkEnd w:id="32"/>
    <w:bookmarkStart w:id="33" w:name="phase-roll-out-t0-30-à-t0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8"/>
        </w:numPr>
      </w:pPr>
      <w:r>
        <w:t xml:space="preserve">Import Excel ou CSV de la flotte complète (6 000 véhicules) — modèle prêt à l’emploi (onglets Véhicules et Chauffeurs) : marque, modèle, année, immatriculation, km, type d’usage, chauffeur attitré</w:t>
      </w:r>
    </w:p>
    <w:p>
      <w:pPr>
        <w:pStyle w:val="Compact"/>
        <w:numPr>
          <w:ilvl w:val="0"/>
          <w:numId w:val="1008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8"/>
        </w:numPr>
      </w:pPr>
      <w:r>
        <w:t xml:space="preserve">Enrôlement des chauffeurs et affectation aux véhicules (activation OTP, ~5 min par chauffeur)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8"/>
        </w:numPr>
      </w:pPr>
      <w:r>
        <w:t xml:space="preserve">Bascule des chauffeurs sur l’application et saisie de la recette quotidienne dès le premier jour (formation rapide, ~10 min par chauffeur)</w:t>
      </w:r>
    </w:p>
    <w:bookmarkEnd w:id="33"/>
    <w:bookmarkStart w:id="34" w:name="X505398693b26aee371b087d4bc5c3c168361882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centres, ajout de SKU critiques, ajustement seuils alertes, suivi des KPIs chauffeurs)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réversibilité-et-sortie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véhicules, alertes maintenance, recettes et incidents chauffeurs).</w:t>
      </w:r>
    </w:p>
    <w:p>
      <w:pPr>
        <w:pStyle w:val="Compact"/>
        <w:numPr>
          <w:ilvl w:val="0"/>
          <w:numId w:val="1010"/>
        </w:numPr>
      </w:pPr>
      <w:r>
        <w:t xml:space="preserve">Aucune clause d’exclusivité — [Nom de l’entreprise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36"/>
    <w:bookmarkStart w:id="37" w:name="recommandation-pièces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d’Ivoire,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La gestion des chauffeurs étant incluse dès Flotte Pro, le ROI se joue sur deux dimensions simultanées dès le premier mois : économie pièces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recette mieux suivie. À 12 mois, basculer 1 000 à 2 000 véhicules les plus exposés à l’immobilisation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prioritaire — soit un mix à environ 350–400 M FCFA/an, avec un ROI confortable sur les trois dimensions (économie pièces + recette + économie immobilisation).</w:t>
      </w:r>
    </w:p>
    <w:p>
      <w:pPr>
        <w:pStyle w:val="BodyText"/>
      </w:pPr>
      <w:r>
        <w:t xml:space="preserve">Cette approche progressive permet de valider l’économie réelle avant d’engager le tier supérieur sur tout le parc.</w:t>
      </w:r>
    </w:p>
    <w:p>
      <w:r>
        <w:pict>
          <v:rect style="width:0;height:1.5pt" o:hralign="center" o:hrstd="t" o:hr="t"/>
        </w:pict>
      </w:r>
    </w:p>
    <w:bookmarkEnd w:id="37"/>
    <w:bookmarkStart w:id="38" w:name="conditions-de-signature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1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3 juin 2026.</w:t>
      </w:r>
    </w:p>
    <w:p>
      <w:pPr>
        <w:pStyle w:val="Compact"/>
        <w:numPr>
          <w:ilvl w:val="0"/>
          <w:numId w:val="1011"/>
        </w:numPr>
      </w:pPr>
      <w:r>
        <w:t xml:space="preserve">L’offre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de déploiement initial).</w:t>
      </w:r>
    </w:p>
    <w:p>
      <w:pPr>
        <w:pStyle w:val="Compact"/>
        <w:numPr>
          <w:ilvl w:val="0"/>
          <w:numId w:val="1011"/>
        </w:numPr>
      </w:pPr>
      <w:r>
        <w:t xml:space="preserve">Un contrat-cadre détaillé sera produit à l’issue de la phase de déploiement initial,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38"/>
    <w:bookmarkStart w:id="39" w:name="contact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r>
        <w:t xml:space="preserve">fernando.kouame@gmail.com</w:t>
      </w:r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PCS-VTC-2026-06-001.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2026-07-17T21:15:37Z</dcterms:created>
  <dcterms:modified xsi:type="dcterms:W3CDTF">2026-07-17T21:15:37Z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