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Pitch deck · Pre-seed · Confidentiel</w:t>
      </w:r>
    </w:p>
    <w:bookmarkStart w:id="32" w:name="pièces"/>
    <w:p>
      <w:pPr>
        <w:pStyle w:val="Heading1"/>
      </w:pPr>
      <w:r>
        <w:t xml:space="preserve">Pièces</w:t>
      </w:r>
    </w:p>
    <w:p>
      <w:pPr>
        <w:pStyle w:val="FirstParagraph"/>
      </w:pPr>
      <w:r>
        <w:t xml:space="preserve">Pièces optimise les dépenses automobiles de tout le monde en Côte d’Ivoire — du propriétaire d’un véhicule au gestionnaire d’une flotte. Marketplace + flotte + réseau terrain, sur un marché de ~250 Mds FCFA/an, fragmenté et largement informel.</w:t>
      </w:r>
    </w:p>
    <w:p>
      <w:pPr>
        <w:pStyle w:val="BodyText"/>
      </w:pPr>
      <w:r>
        <w:t xml:space="preserve">La pièce qu’il te faut,</w:t>
      </w:r>
      <w:r>
        <w:t xml:space="preserve"> </w:t>
      </w:r>
      <w:r>
        <w:t xml:space="preserve">au juste prix</w:t>
      </w:r>
      <w:r>
        <w:t xml:space="preserve">, livrée et garantie.</w:t>
      </w:r>
    </w:p>
    <w:p>
      <w:pPr>
        <w:pStyle w:val="BodyText"/>
      </w:pPr>
      <w:r>
        <w:t xml:space="preserve">Pre-seed ~1 M EUR · Juin 2026 · Abidjan</w:t>
      </w:r>
    </w:p>
    <w:bookmarkStart w:id="20" w:name="le-problème"/>
    <w:p>
      <w:pPr>
        <w:pStyle w:val="Heading2"/>
      </w:pPr>
      <w:r>
        <w:t xml:space="preserve">Le problème</w:t>
      </w:r>
    </w:p>
    <w:p>
      <w:pPr>
        <w:pStyle w:val="FirstParagraph"/>
      </w:pPr>
      <w:r>
        <w:t xml:space="preserve">Acheter une pièce auto à Abidjan = un parcours du combattant. Le marché est</w:t>
      </w:r>
      <w:r>
        <w:t xml:space="preserve"> </w:t>
      </w:r>
      <w:r>
        <w:rPr>
          <w:b/>
          <w:bCs/>
        </w:rPr>
        <w:t xml:space="preserve">largement informel</w:t>
      </w:r>
      <w:r>
        <w:t xml:space="preserve"> </w:t>
      </w:r>
      <w:r>
        <w:t xml:space="preserve">: pas de catalogue, pas de prix affiché, pas de garantie, pas de facture.</w:t>
      </w:r>
    </w:p>
    <w:p>
      <w:pPr>
        <w:pStyle w:val="BodyText"/>
      </w:pPr>
      <w:r>
        <w:rPr>
          <w:b/>
          <w:bCs/>
        </w:rPr>
        <w:t xml:space="preserve">Chaque intermédiaire ajoute sa marge</w:t>
      </w:r>
      <w:r>
        <w:t xml:space="preserve"> </w:t>
      </w:r>
      <w:r>
        <w:t xml:space="preserve">— importateur, grossiste, détaillant, mécanicien : l’acheteur paie l’accumulation, sans jamais voir le vrai prix.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Propriétaire</w:t>
      </w:r>
      <w:r>
        <w:t xml:space="preserve"> </w:t>
      </w:r>
      <w:r>
        <w:t xml:space="preserve">: paie 30 à 60 % trop cher, sans garantie.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Flotte</w:t>
      </w:r>
      <w:r>
        <w:t xml:space="preserve"> </w:t>
      </w:r>
      <w:r>
        <w:t xml:space="preserve">: perd</w:t>
      </w:r>
      <w:r>
        <w:t xml:space="preserve"> </w:t>
      </w:r>
      <w:r>
        <w:rPr>
          <w:b/>
          <w:bCs/>
        </w:rPr>
        <w:t xml:space="preserve">25 000 à 50 000 F/jour</w:t>
      </w:r>
      <w:r>
        <w:t xml:space="preserve"> </w:t>
      </w:r>
      <w:r>
        <w:t xml:space="preserve">par véhicule immobilisé ; budget pièces opaque.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Vendeur</w:t>
      </w:r>
      <w:r>
        <w:t xml:space="preserve"> </w:t>
      </w:r>
      <w:r>
        <w:t xml:space="preserve">: enfermé dans son comptoir, invisible en ligne.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État</w:t>
      </w:r>
      <w:r>
        <w:t xml:space="preserve"> </w:t>
      </w:r>
      <w:r>
        <w:t xml:space="preserve">: ni TVA, ni traçabilité.</w:t>
      </w:r>
    </w:p>
    <w:bookmarkEnd w:id="20"/>
    <w:bookmarkStart w:id="21" w:name="la-solution"/>
    <w:p>
      <w:pPr>
        <w:pStyle w:val="Heading2"/>
      </w:pPr>
      <w:r>
        <w:t xml:space="preserve">La solution</w:t>
      </w:r>
    </w:p>
    <w:p>
      <w:pPr>
        <w:pStyle w:val="FirstParagraph"/>
      </w:pPr>
      <w:r>
        <w:t xml:space="preserve">Trois produits, une seule infrastructure 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Marketplace tripartite</w:t>
      </w:r>
      <w:r>
        <w:t xml:space="preserve"> </w:t>
      </w:r>
      <w:r>
        <w:t xml:space="preserve">— le mécanicien identifie, le vendeur livre, le propriétaire</w:t>
      </w:r>
      <w:r>
        <w:t xml:space="preserve"> </w:t>
      </w:r>
      <w:r>
        <w:rPr>
          <w:b/>
          <w:bCs/>
        </w:rPr>
        <w:t xml:space="preserve">paie à la livraison</w:t>
      </w:r>
      <w:r>
        <w:t xml:space="preserve">. Prix et condition affichés, garantie, facture.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Suite Flotte (B2B)</w:t>
      </w:r>
      <w:r>
        <w:t xml:space="preserve"> </w:t>
      </w:r>
      <w:r>
        <w:t xml:space="preserve">— pilotage du coût total de possession, détection des véhicules « gouffres », livraison express prioritaire, conformité fiscale.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Réseau Liaison</w:t>
      </w:r>
      <w:r>
        <w:t xml:space="preserve"> </w:t>
      </w:r>
      <w:r>
        <w:t xml:space="preserve">— des agents terrain digitalisent les vendeurs</w:t>
      </w:r>
      <w:r>
        <w:t xml:space="preserve"> </w:t>
      </w:r>
      <w:r>
        <w:rPr>
          <w:b/>
          <w:bCs/>
        </w:rPr>
        <w:t xml:space="preserve">formels et informels</w:t>
      </w:r>
      <w:r>
        <w:t xml:space="preserve">, de l’importateur en gros au détaillant — même hors ligne.</w:t>
      </w:r>
    </w:p>
    <w:p>
      <w:pPr>
        <w:pStyle w:val="FirstParagraph"/>
      </w:pPr>
      <w:r>
        <w:t xml:space="preserve">Une douve cumulée :</w:t>
      </w:r>
      <w:r>
        <w:t xml:space="preserve"> </w:t>
      </w:r>
      <w:r>
        <w:t xml:space="preserve">demande + offre + conformité</w:t>
      </w:r>
      <w:r>
        <w:t xml:space="preserve">.</w:t>
      </w:r>
    </w:p>
    <w:bookmarkEnd w:id="21"/>
    <w:bookmarkStart w:id="22" w:name="le-produit-est-déjà-construit"/>
    <w:p>
      <w:pPr>
        <w:pStyle w:val="Heading2"/>
      </w:pPr>
      <w:r>
        <w:t xml:space="preserve">Le produit est déjà construit</w:t>
      </w:r>
    </w:p>
    <w:p>
      <w:pPr>
        <w:pStyle w:val="Compact"/>
        <w:numPr>
          <w:ilvl w:val="0"/>
          <w:numId w:val="1003"/>
        </w:numPr>
      </w:pPr>
      <w:r>
        <w:t xml:space="preserve">Marketplace,</w:t>
      </w:r>
      <w:r>
        <w:t xml:space="preserve"> </w:t>
      </w:r>
      <w:r>
        <w:rPr>
          <w:b/>
          <w:bCs/>
        </w:rPr>
        <w:t xml:space="preserve">paiement à la livraison</w:t>
      </w:r>
      <w:r>
        <w:t xml:space="preserve">, garantie, facture — en production.</w:t>
      </w:r>
    </w:p>
    <w:p>
      <w:pPr>
        <w:pStyle w:val="Compact"/>
        <w:numPr>
          <w:ilvl w:val="0"/>
          <w:numId w:val="1003"/>
        </w:numPr>
      </w:pPr>
      <w:r>
        <w:t xml:space="preserve">Recherche pièce par</w:t>
      </w:r>
      <w:r>
        <w:t xml:space="preserve"> </w:t>
      </w:r>
      <w:r>
        <w:rPr>
          <w:b/>
          <w:bCs/>
        </w:rPr>
        <w:t xml:space="preserve">texte / photo IA / VIN</w:t>
      </w:r>
      <w:r>
        <w:t xml:space="preserve">, fitment véhicule CI.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Suite Flotte</w:t>
      </w:r>
      <w:r>
        <w:t xml:space="preserve"> </w:t>
      </w:r>
      <w:r>
        <w:t xml:space="preserve">(Pro 5 000 F · Pro + 10 000 F par véhicule/mois) + calculateur ROI.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Bot WhatsApp</w:t>
      </w:r>
      <w:r>
        <w:t xml:space="preserve">, portail entreprise en ligne sur</w:t>
      </w:r>
      <w:r>
        <w:t xml:space="preserve"> </w:t>
      </w:r>
      <w:r>
        <w:rPr>
          <w:rStyle w:val="VerbatimChar"/>
        </w:rPr>
        <w:t xml:space="preserve">flotte.pieces.ci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7 137 annonces</w:t>
      </w:r>
      <w:r>
        <w:t xml:space="preserve"> </w:t>
      </w:r>
      <w:r>
        <w:t xml:space="preserve">déjà ingérées au catalogue (Jumia, CoinAfrique, global-auto).</w:t>
      </w:r>
    </w:p>
    <w:bookmarkEnd w:id="22"/>
    <w:bookmarkStart w:id="23" w:name="le-marché"/>
    <w:p>
      <w:pPr>
        <w:pStyle w:val="Heading2"/>
      </w:pPr>
      <w:r>
        <w:t xml:space="preserve">Le marché</w:t>
      </w:r>
    </w:p>
    <w:p>
      <w:pPr>
        <w:pStyle w:val="FirstParagraph"/>
      </w:pPr>
      <w:r>
        <w:t xml:space="preserve">Parc national</w:t>
      </w:r>
      <w:r>
        <w:t xml:space="preserve"> </w:t>
      </w:r>
      <w:r>
        <w:rPr>
          <w:b/>
          <w:bCs/>
        </w:rPr>
        <w:t xml:space="preserve">~1,2 M véhicules</w:t>
      </w:r>
      <w:r>
        <w:t xml:space="preserve"> </w:t>
      </w:r>
      <w:r>
        <w:t xml:space="preserve">(Min. Transports, 2022). Secteur auto</w:t>
      </w:r>
      <w:r>
        <w:t xml:space="preserve"> </w:t>
      </w:r>
      <w:r>
        <w:rPr>
          <w:b/>
          <w:bCs/>
        </w:rPr>
        <w:t xml:space="preserve">~400–420 Mds F/an</w:t>
      </w:r>
      <w:r>
        <w:t xml:space="preserve">. À une take rate de ~10 %, le SOM représente</w:t>
      </w:r>
      <w:r>
        <w:t xml:space="preserve"> </w:t>
      </w:r>
      <w:r>
        <w:rPr>
          <w:b/>
          <w:bCs/>
        </w:rPr>
        <w:t xml:space="preserve">4–6 Mds FCFA de revenu net annuel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Marché pièces / 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</w:t>
            </w:r>
            <w:r>
              <w:t xml:space="preserve"> </w:t>
            </w:r>
            <w:r>
              <w:t xml:space="preserve">— national (pièces seules)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~250 Mds 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</w:t>
            </w:r>
            <w:r>
              <w:t xml:space="preserve"> </w:t>
            </w:r>
            <w:r>
              <w:t xml:space="preserve">— Abidjan adressable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~172 Mds 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SOM</w:t>
            </w:r>
            <w:r>
              <w:t xml:space="preserve"> </w:t>
            </w:r>
            <w:r>
              <w:t xml:space="preserve">— 5 ans, GMV intermédié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35–50 Mds F</w:t>
            </w:r>
          </w:p>
        </w:tc>
      </w:tr>
    </w:tbl>
    <w:bookmarkEnd w:id="23"/>
    <w:bookmarkStart w:id="24" w:name="pourquoi-maintenant"/>
    <w:p>
      <w:pPr>
        <w:pStyle w:val="Heading2"/>
      </w:pPr>
      <w:r>
        <w:t xml:space="preserve">Pourquoi maintenant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Uber a quitté la Côte d’Ivoire (sept. 2025)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Yango ultra-dominant</w:t>
      </w:r>
      <w:r>
        <w:t xml:space="preserve"> </w:t>
      </w:r>
      <w:r>
        <w:t xml:space="preserve">: ~25 000 véhicules,</w:t>
      </w:r>
      <w:r>
        <w:t xml:space="preserve"> </w:t>
      </w:r>
      <w:r>
        <w:rPr>
          <w:b/>
          <w:bCs/>
        </w:rPr>
        <w:t xml:space="preserve">~100 000 courses/jour</w:t>
      </w:r>
      <w:r>
        <w:t xml:space="preserve">, 160+ entreprises de flotte, HQ régional à Abidjan. Un partenaire flotte évident.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Parc qui rajeunit</w:t>
      </w:r>
      <w:r>
        <w:t xml:space="preserve"> </w:t>
      </w:r>
      <w:r>
        <w:t xml:space="preserve">: importations de neuf triplées depuis 2017, restriction de l’âge des véhicules.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Mobile Money massif</w:t>
      </w:r>
      <w:r>
        <w:t xml:space="preserve"> </w:t>
      </w:r>
      <w:r>
        <w:t xml:space="preserve">(Orange Money, MTN, Wave) → paiement à la livraison fiable et traçable.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Formalisation fiscale (FNE-CI)</w:t>
      </w:r>
      <w:r>
        <w:t xml:space="preserve"> </w:t>
      </w:r>
      <w:r>
        <w:t xml:space="preserve">→ fenêtre pour devenir le standard de la facture pièce.</w:t>
      </w:r>
    </w:p>
    <w:p>
      <w:pPr>
        <w:pStyle w:val="FirstParagraph"/>
      </w:pPr>
      <w:r>
        <w:t xml:space="preserve">Personne n’a tenu la combinaison</w:t>
      </w:r>
      <w:r>
        <w:t xml:space="preserve"> </w:t>
      </w:r>
      <w:r>
        <w:t xml:space="preserve">marketplace + flotte + terrain</w:t>
      </w:r>
      <w:r>
        <w:t xml:space="preserve"> </w:t>
      </w:r>
      <w:r>
        <w:t xml:space="preserve">à Abidjan. La fenêtre est ouverte maintenant.</w:t>
      </w:r>
    </w:p>
    <w:bookmarkEnd w:id="24"/>
    <w:bookmarkStart w:id="25" w:name="le-beachhead-le-vtc"/>
    <w:p>
      <w:pPr>
        <w:pStyle w:val="Heading2"/>
      </w:pPr>
      <w:r>
        <w:t xml:space="preserve">Le beachhead : le VTC</w:t>
      </w:r>
    </w:p>
    <w:p>
      <w:pPr>
        <w:pStyle w:val="FirstParagraph"/>
      </w:pPr>
      <w:r>
        <w:t xml:space="preserve">Le VTC ivoirien a explosé :</w:t>
      </w:r>
      <w:r>
        <w:t xml:space="preserve"> </w:t>
      </w:r>
      <w:r>
        <w:rPr>
          <w:b/>
          <w:bCs/>
        </w:rPr>
        <w:t xml:space="preserve">~30 000 véhicules en 2026</w:t>
      </w:r>
      <w:r>
        <w:t xml:space="preserve"> </w:t>
      </w:r>
      <w:r>
        <w:t xml:space="preserve">(vs 5–6k en 2024), Yango ~25 000 à Abidjan. C’est</w:t>
      </w:r>
      <w:r>
        <w:t xml:space="preserve"> </w:t>
      </w:r>
      <w:r>
        <w:rPr>
          <w:b/>
          <w:bCs/>
        </w:rPr>
        <w:t xml:space="preserve">le meilleur point d’entrée</w:t>
      </w:r>
      <w:r>
        <w:t xml:space="preserve">, pas le plus gros segment :</w:t>
      </w:r>
    </w:p>
    <w:p>
      <w:pPr>
        <w:pStyle w:val="Compact"/>
        <w:numPr>
          <w:ilvl w:val="0"/>
          <w:numId w:val="1005"/>
        </w:numPr>
      </w:pPr>
      <w:r>
        <w:t xml:space="preserve">Un VTC roule</w:t>
      </w:r>
      <w:r>
        <w:t xml:space="preserve"> </w:t>
      </w:r>
      <w:r>
        <w:rPr>
          <w:b/>
          <w:bCs/>
        </w:rPr>
        <w:t xml:space="preserve">~44 000 km/an</w:t>
      </w:r>
      <w:r>
        <w:t xml:space="preserve"> </w:t>
      </w:r>
      <w:r>
        <w:t xml:space="preserve">(3× un particulier) → use ses pièces 3× plus vite (</w:t>
      </w:r>
      <w:r>
        <w:rPr>
          <w:b/>
          <w:bCs/>
        </w:rPr>
        <w:t xml:space="preserve">~1,3 M F/an</w:t>
      </w:r>
      <w:r>
        <w:t xml:space="preserve"> </w:t>
      </w:r>
      <w:r>
        <w:t xml:space="preserve">de pièces).</w:t>
      </w:r>
    </w:p>
    <w:p>
      <w:pPr>
        <w:pStyle w:val="Compact"/>
        <w:numPr>
          <w:ilvl w:val="0"/>
          <w:numId w:val="1005"/>
        </w:numPr>
      </w:pPr>
      <w:r>
        <w:t xml:space="preserve">Chaque jour d’immobilisation</w:t>
      </w:r>
      <w:r>
        <w:t xml:space="preserve"> </w:t>
      </w:r>
      <w:r>
        <w:rPr>
          <w:b/>
          <w:bCs/>
        </w:rPr>
        <w:t xml:space="preserve">détruit du revenu</w:t>
      </w:r>
      <w:r>
        <w:t xml:space="preserve"> </w:t>
      </w:r>
      <w:r>
        <w:t xml:space="preserve">(15–30k F/jour) → douleur aiguë et mesurable.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~160 entreprises de flotte</w:t>
      </w:r>
      <w:r>
        <w:t xml:space="preserve"> </w:t>
      </w:r>
      <w:r>
        <w:t xml:space="preserve">Yango = cibles B2B concentrées et immédiates.</w:t>
      </w:r>
    </w:p>
    <w:p>
      <w:pPr>
        <w:pStyle w:val="Compact"/>
        <w:numPr>
          <w:ilvl w:val="0"/>
          <w:numId w:val="1005"/>
        </w:numPr>
      </w:pPr>
      <w:r>
        <w:t xml:space="preserve">Idéal pour prouver le ROI et bâtir la</w:t>
      </w:r>
      <w:r>
        <w:t xml:space="preserve"> </w:t>
      </w:r>
      <w:r>
        <w:rPr>
          <w:b/>
          <w:bCs/>
        </w:rPr>
        <w:t xml:space="preserve">data fitments</w:t>
      </w:r>
      <w:r>
        <w:t xml:space="preserve">, avant d’étendre au parc entier (taxis, gbaka, BTP, corporate).</w:t>
      </w:r>
    </w:p>
    <w:bookmarkEnd w:id="25"/>
    <w:bookmarkStart w:id="26" w:name="modèle-économique"/>
    <w:p>
      <w:pPr>
        <w:pStyle w:val="Heading2"/>
      </w:pPr>
      <w:r>
        <w:t xml:space="preserve">Modèle économique</w:t>
      </w:r>
    </w:p>
    <w:p>
      <w:pPr>
        <w:pStyle w:val="FirstParagraph"/>
      </w:pPr>
      <w:r>
        <w:rPr>
          <w:b/>
          <w:bCs/>
        </w:rPr>
        <w:t xml:space="preserve">Unit economics</w:t>
      </w:r>
      <w:r>
        <w:t xml:space="preserve"> </w:t>
      </w:r>
      <w:r>
        <w:t xml:space="preserve">: panier moyen</w:t>
      </w:r>
      <w:r>
        <w:t xml:space="preserve"> </w:t>
      </w:r>
      <w:r>
        <w:rPr>
          <w:b/>
          <w:bCs/>
        </w:rPr>
        <w:t xml:space="preserve">32 000 F</w:t>
      </w:r>
      <w:r>
        <w:t xml:space="preserve">, take rate</w:t>
      </w:r>
      <w:r>
        <w:t xml:space="preserve"> </w:t>
      </w:r>
      <w:r>
        <w:rPr>
          <w:b/>
          <w:bCs/>
        </w:rPr>
        <w:t xml:space="preserve">10 %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3 200 F/commande</w:t>
      </w:r>
      <w:r>
        <w:t xml:space="preserve"> </w:t>
      </w:r>
      <w:r>
        <w:t xml:space="preserve">· LTV Flotte Pro</w:t>
      </w:r>
      <w:r>
        <w:t xml:space="preserve"> </w:t>
      </w:r>
      <w:r>
        <w:rPr>
          <w:b/>
          <w:bCs/>
        </w:rPr>
        <w:t xml:space="preserve">~85 000 F/véhicule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LTV/CAC &gt; 4</w:t>
      </w:r>
      <w:r>
        <w:t xml:space="preserve"> </w:t>
      </w:r>
      <w:r>
        <w:t xml:space="preserve">dès M12.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Flux</w:t>
            </w:r>
          </w:p>
        </w:tc>
        <w:tc>
          <w:tcPr/>
          <w:p>
            <w:pPr>
              <w:pStyle w:val="Compact"/>
            </w:pPr>
            <w:r>
              <w:t xml:space="preserve">Mécanique</w:t>
            </w:r>
          </w:p>
        </w:tc>
        <w:tc>
          <w:tcPr/>
          <w:p>
            <w:pPr>
              <w:pStyle w:val="Compact"/>
            </w:pPr>
            <w:r>
              <w:t xml:space="preserve">An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Commission marketplace</w:t>
            </w:r>
          </w:p>
        </w:tc>
        <w:tc>
          <w:tcPr/>
          <w:p>
            <w:pPr>
              <w:pStyle w:val="Compact"/>
            </w:pPr>
            <w:r>
              <w:t xml:space="preserve">7–15 %, au paiement</w:t>
            </w:r>
          </w:p>
        </w:tc>
        <w:tc>
          <w:tcPr/>
          <w:p>
            <w:pPr>
              <w:pStyle w:val="Compact"/>
            </w:pPr>
            <w:r>
              <w:t xml:space="preserve">45 %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Abonnement Flotte Pro</w:t>
            </w:r>
          </w:p>
        </w:tc>
        <w:tc>
          <w:tcPr/>
          <w:p>
            <w:pPr>
              <w:pStyle w:val="Compact"/>
            </w:pPr>
            <w:r>
              <w:t xml:space="preserve">5 000 F/véh/mois</w:t>
            </w:r>
          </w:p>
        </w:tc>
        <w:tc>
          <w:tcPr/>
          <w:p>
            <w:pPr>
              <w:pStyle w:val="Compact"/>
            </w:pPr>
            <w:r>
              <w:t xml:space="preserve">35 %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Abonnement Flotte Pro +</w:t>
            </w:r>
          </w:p>
        </w:tc>
        <w:tc>
          <w:tcPr/>
          <w:p>
            <w:pPr>
              <w:pStyle w:val="Compact"/>
            </w:pPr>
            <w:r>
              <w:t xml:space="preserve">10 000 F/véh/mois</w:t>
            </w:r>
          </w:p>
        </w:tc>
        <w:tc>
          <w:tcPr/>
          <w:p>
            <w:pPr>
              <w:pStyle w:val="Compact"/>
            </w:pPr>
            <w:r>
              <w:t xml:space="preserve">15 %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Conformité / facturation</w:t>
            </w:r>
          </w:p>
        </w:tc>
        <w:tc>
          <w:tcPr/>
          <w:p>
            <w:pPr>
              <w:pStyle w:val="Compact"/>
            </w:pPr>
            <w:r>
              <w:t xml:space="preserve">forfait FNE-CI</w:t>
            </w:r>
          </w:p>
        </w:tc>
        <w:tc>
          <w:tcPr/>
          <w:p>
            <w:pPr>
              <w:pStyle w:val="Compact"/>
            </w:pPr>
            <w:r>
              <w:t xml:space="preserve">5 %</w:t>
            </w:r>
          </w:p>
        </w:tc>
      </w:tr>
    </w:tbl>
    <w:bookmarkEnd w:id="26"/>
    <w:bookmarkStart w:id="27" w:name="go-to-market-5-mouvements"/>
    <w:p>
      <w:pPr>
        <w:pStyle w:val="Heading2"/>
      </w:pPr>
      <w:r>
        <w:t xml:space="preserve">Go-to-market — 5 mouvements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M0–6</w:t>
      </w:r>
      <w:r>
        <w:t xml:space="preserve"> </w:t>
      </w:r>
      <w:r>
        <w:t xml:space="preserve">: verrouiller Adjamé/Yopougon (20 Liaisons, 300 vendeurs, 350 commandes/jour).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M3–12</w:t>
      </w:r>
      <w:r>
        <w:t xml:space="preserve"> </w:t>
      </w:r>
      <w:r>
        <w:t xml:space="preserve">: prendre le VTC (</w:t>
      </w:r>
      <w:r>
        <w:rPr>
          <w:b/>
          <w:bCs/>
        </w:rPr>
        <w:t xml:space="preserve">partenariat Yango</w:t>
      </w:r>
      <w:r>
        <w:t xml:space="preserve">, flottes indépendantes, 3 cas clients -20 %).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M6–15</w:t>
      </w:r>
      <w:r>
        <w:t xml:space="preserve"> </w:t>
      </w:r>
      <w:r>
        <w:t xml:space="preserve">: devenir le</w:t>
      </w:r>
      <w:r>
        <w:t xml:space="preserve"> </w:t>
      </w:r>
      <w:r>
        <w:rPr>
          <w:b/>
          <w:bCs/>
        </w:rPr>
        <w:t xml:space="preserve">standard FNE-CI</w:t>
      </w:r>
      <w:r>
        <w:t xml:space="preserve"> </w:t>
      </w:r>
      <w:r>
        <w:t xml:space="preserve">(vente aux DAF : « récupérez votre TVA »).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M12–18</w:t>
      </w:r>
      <w:r>
        <w:t xml:space="preserve"> </w:t>
      </w:r>
      <w:r>
        <w:t xml:space="preserve">: étendre BTP / transport collectif / corporate.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M18–24</w:t>
      </w:r>
      <w:r>
        <w:t xml:space="preserve"> </w:t>
      </w:r>
      <w:r>
        <w:t xml:space="preserve">: sortir d’Abidjan (Bouaké, San Pedro) + pilote sous-régional.</w:t>
      </w:r>
    </w:p>
    <w:bookmarkEnd w:id="27"/>
    <w:bookmarkStart w:id="28" w:name="concurrence-douve"/>
    <w:p>
      <w:pPr>
        <w:pStyle w:val="Heading2"/>
      </w:pPr>
      <w:r>
        <w:t xml:space="preserve">Concurrence &amp; douve</w:t>
      </w:r>
    </w:p>
    <w:p>
      <w:pPr>
        <w:pStyle w:val="FirstParagraph"/>
      </w:pPr>
      <w:r>
        <w:t xml:space="preserve">Concurrent réel =</w:t>
      </w:r>
      <w:r>
        <w:t xml:space="preserve"> </w:t>
      </w:r>
      <w:r>
        <w:rPr>
          <w:b/>
          <w:bCs/>
        </w:rPr>
        <w:t xml:space="preserve">magasins + WhatsApp + Excel</w:t>
      </w:r>
      <w:r>
        <w:t xml:space="preserve">. Aucun acteur structuré à l’échelle nationale.</w:t>
      </w:r>
    </w:p>
    <w:p>
      <w:pPr>
        <w:pStyle w:val="BodyText"/>
      </w:pPr>
      <w:r>
        <w:t xml:space="preserve">Notre douve, défendable à 36 mois 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Cartographie de la chaîne + réseau Liaison</w:t>
      </w:r>
      <w:r>
        <w:t xml:space="preserve"> </w:t>
      </w:r>
      <w:r>
        <w:t xml:space="preserve">— tous les acteurs (gros → détail, formels &amp; informels) et leurs produits digitalisés, même hors ligne (objectif 80 agents en 12 mois).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 fitments Côte d’Ivoire</w:t>
      </w:r>
      <w:r>
        <w:t xml:space="preserve"> </w:t>
      </w:r>
      <w:r>
        <w:t xml:space="preserve">— inattaquable à 100 000 transactions.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Paiement à la livraison + garantie</w:t>
      </w:r>
      <w:r>
        <w:t xml:space="preserve"> </w:t>
      </w:r>
      <w:r>
        <w:t xml:space="preserve">— confiance dans un marché de méfiance.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FNE-CI natif</w:t>
      </w:r>
      <w:r>
        <w:t xml:space="preserve"> </w:t>
      </w:r>
      <w:r>
        <w:t xml:space="preserve">— verrou réglementaire.</w:t>
      </w:r>
    </w:p>
    <w:bookmarkEnd w:id="28"/>
    <w:bookmarkStart w:id="29" w:name="projections"/>
    <w:p>
      <w:pPr>
        <w:pStyle w:val="Heading2"/>
      </w:pPr>
      <w:r>
        <w:t xml:space="preserve">Projections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An 1</w:t>
            </w:r>
          </w:p>
        </w:tc>
        <w:tc>
          <w:tcPr/>
          <w:p>
            <w:pPr>
              <w:pStyle w:val="Compact"/>
            </w:pPr>
            <w:r>
              <w:t xml:space="preserve">An 2</w:t>
            </w:r>
          </w:p>
        </w:tc>
        <w:tc>
          <w:tcPr/>
          <w:p>
            <w:pPr>
              <w:pStyle w:val="Compact"/>
            </w:pPr>
            <w:r>
              <w:t xml:space="preserve">An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Commandes/jour (fin)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1 500</w:t>
            </w:r>
          </w:p>
        </w:tc>
        <w:tc>
          <w:tcPr/>
          <w:p>
            <w:pPr>
              <w:pStyle w:val="Compact"/>
            </w:pPr>
            <w:r>
              <w:t xml:space="preserve">2 800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Véhicules abonnés (fin)</w:t>
            </w:r>
          </w:p>
        </w:tc>
        <w:tc>
          <w:tcPr/>
          <w:p>
            <w:pPr>
              <w:pStyle w:val="Compact"/>
            </w:pPr>
            <w:r>
              <w:t xml:space="preserve">1 500</w:t>
            </w:r>
          </w:p>
        </w:tc>
        <w:tc>
          <w:tcPr/>
          <w:p>
            <w:pPr>
              <w:pStyle w:val="Compact"/>
            </w:pPr>
            <w:r>
              <w:t xml:space="preserve">4 000</w:t>
            </w:r>
          </w:p>
        </w:tc>
        <w:tc>
          <w:tcPr/>
          <w:p>
            <w:pPr>
              <w:pStyle w:val="Compact"/>
            </w:pPr>
            <w:r>
              <w:t xml:space="preserve">8 000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GMV</w:t>
            </w:r>
          </w:p>
        </w:tc>
        <w:tc>
          <w:tcPr/>
          <w:p>
            <w:pPr>
              <w:pStyle w:val="Compact"/>
            </w:pPr>
            <w:r>
              <w:t xml:space="preserve">~2,9 Mds F</w:t>
            </w:r>
          </w:p>
        </w:tc>
        <w:tc>
          <w:tcPr/>
          <w:p>
            <w:pPr>
              <w:pStyle w:val="Compact"/>
            </w:pPr>
            <w:r>
              <w:t xml:space="preserve">~11,5 Mds F</w:t>
            </w:r>
          </w:p>
        </w:tc>
        <w:tc>
          <w:tcPr/>
          <w:p>
            <w:pPr>
              <w:pStyle w:val="Compact"/>
            </w:pPr>
            <w:r>
              <w:t xml:space="preserve">~26 Mds 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 net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~0,28 Md 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~1,15 Md 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~3,2 Mds F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EBITDA</w:t>
            </w:r>
          </w:p>
        </w:tc>
        <w:tc>
          <w:tcPr/>
          <w:p>
            <w:pPr>
              <w:pStyle w:val="Compact"/>
            </w:pPr>
            <w:r>
              <w:t xml:space="preserve">négatif</w:t>
            </w:r>
          </w:p>
        </w:tc>
        <w:tc>
          <w:tcPr/>
          <w:p>
            <w:pPr>
              <w:pStyle w:val="Compact"/>
            </w:pPr>
            <w:r>
              <w:t xml:space="preserve">≈ break-even</w:t>
            </w:r>
          </w:p>
        </w:tc>
        <w:tc>
          <w:tcPr/>
          <w:p>
            <w:pPr>
              <w:pStyle w:val="Compact"/>
            </w:pPr>
            <w:r>
              <w:t xml:space="preserve">positif</w:t>
            </w:r>
          </w:p>
        </w:tc>
      </w:tr>
    </w:tbl>
    <w:bookmarkEnd w:id="29"/>
    <w:bookmarkStart w:id="30" w:name="la-demande"/>
    <w:p>
      <w:pPr>
        <w:pStyle w:val="Heading2"/>
      </w:pPr>
      <w:r>
        <w:t xml:space="preserve">La demande</w:t>
      </w:r>
    </w:p>
    <w:p>
      <w:pPr>
        <w:pStyle w:val="FirstParagraph"/>
      </w:pPr>
      <w:r>
        <w:t xml:space="preserve">Pre-seed</w:t>
      </w:r>
      <w:r>
        <w:t xml:space="preserve"> </w:t>
      </w:r>
      <w:r>
        <w:t xml:space="preserve">~1 M EUR (≈ 655 M FCFA)</w:t>
      </w:r>
      <w:r>
        <w:t xml:space="preserve"> </w:t>
      </w:r>
      <w:r>
        <w:t xml:space="preserve">— 18 à 20 mois de runway.</w:t>
      </w:r>
    </w:p>
    <w:p>
      <w:pPr>
        <w:pStyle w:val="BodyText"/>
      </w:pPr>
      <w:r>
        <w:t xml:space="preserve">Fourchette 0,7–1,3 M EUR selon l’ambition de calendrier. Justifié par l’intensité capitalistique du modèle (ops terrain + stock tampon).</w:t>
      </w:r>
    </w:p>
    <w:p>
      <w:pPr>
        <w:pStyle w:val="BodyText"/>
      </w:pPr>
      <w:r>
        <w:rPr>
          <w:b/>
          <w:bCs/>
        </w:rPr>
        <w:t xml:space="preserve">Jalons débloqués</w:t>
      </w:r>
      <w:r>
        <w:t xml:space="preserve"> </w:t>
      </w:r>
      <w:r>
        <w:t xml:space="preserve">: 1 500 véhicules abonnés, 600 commandes/jour, GMV &gt; 250 M F/mois, break-even Abidjan à M18 →</w:t>
      </w:r>
      <w:r>
        <w:t xml:space="preserve"> </w:t>
      </w:r>
      <w:r>
        <w:rPr>
          <w:b/>
          <w:bCs/>
        </w:rPr>
        <w:t xml:space="preserve">Seed 4–6 M EUR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Emploi des fonds</w:t>
            </w:r>
          </w:p>
        </w:tc>
        <w:tc>
          <w:tcPr/>
          <w:p>
            <w:pPr>
              <w:pStyle w:val="Compact"/>
            </w:pPr>
            <w:r>
              <w:t xml:space="preserve">Part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Liaison &amp; opérations terrain</w:t>
            </w:r>
          </w:p>
        </w:tc>
        <w:tc>
          <w:tcPr/>
          <w:p>
            <w:pPr>
              <w:pStyle w:val="Compact"/>
            </w:pPr>
            <w:r>
              <w:t xml:space="preserve">30 %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Commercial &amp; GTM</w:t>
            </w:r>
          </w:p>
        </w:tc>
        <w:tc>
          <w:tcPr/>
          <w:p>
            <w:pPr>
              <w:pStyle w:val="Compact"/>
            </w:pPr>
            <w:r>
              <w:t xml:space="preserve">25 %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Produit &amp; tech</w:t>
            </w:r>
          </w:p>
        </w:tc>
        <w:tc>
          <w:tcPr/>
          <w:p>
            <w:pPr>
              <w:pStyle w:val="Compact"/>
            </w:pPr>
            <w:r>
              <w:t xml:space="preserve">25 %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G&amp;A, finance, conformité</w:t>
            </w:r>
          </w:p>
        </w:tc>
        <w:tc>
          <w:tcPr/>
          <w:p>
            <w:pPr>
              <w:pStyle w:val="Compact"/>
            </w:pPr>
            <w:r>
              <w:t xml:space="preserve">10 %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Fonds de roulement &amp; contingence</w:t>
            </w:r>
          </w:p>
        </w:tc>
        <w:tc>
          <w:tcPr/>
          <w:p>
            <w:pPr>
              <w:pStyle w:val="Compact"/>
            </w:pPr>
            <w:r>
              <w:t xml:space="preserve">10 %</w:t>
            </w:r>
          </w:p>
        </w:tc>
      </w:tr>
    </w:tbl>
    <w:bookmarkEnd w:id="30"/>
    <w:bookmarkStart w:id="31" w:name="vision"/>
    <w:p>
      <w:pPr>
        <w:pStyle w:val="Heading2"/>
      </w:pPr>
      <w:r>
        <w:t xml:space="preserve">Vision</w:t>
      </w:r>
    </w:p>
    <w:p>
      <w:pPr>
        <w:pStyle w:val="FirstParagraph"/>
      </w:pPr>
      <w:r>
        <w:t xml:space="preserve">Devenir</w:t>
      </w:r>
      <w:r>
        <w:t xml:space="preserve"> </w:t>
      </w:r>
      <w:r>
        <w:t xml:space="preserve">le standard de fait</w:t>
      </w:r>
      <w:r>
        <w:t xml:space="preserve"> </w:t>
      </w:r>
      <w:r>
        <w:t xml:space="preserve">de la pièce auto en Afrique de l’Ouest francophone.</w:t>
      </w:r>
    </w:p>
    <w:p>
      <w:pPr>
        <w:pStyle w:val="BodyText"/>
      </w:pPr>
      <w:r>
        <w:t xml:space="preserve">Abidjan d’abord. Puis la Côte d’Ivoire. Puis Dakar, Cotonou, et la sous-région — même modèle, même Mobile Money, même parc.</w:t>
      </w:r>
    </w:p>
    <w:p>
      <w:pPr>
        <w:pStyle w:val="BodyText"/>
      </w:pPr>
      <w:r>
        <w:rPr>
          <w:b/>
          <w:bCs/>
        </w:rPr>
        <w:t xml:space="preserve">Pièces — votre flotte, votre coût, votre contrôle.</w:t>
      </w:r>
    </w:p>
    <w:p>
      <w:pPr>
        <w:pStyle w:val="BodyText"/>
      </w:pPr>
      <w:r>
        <w:rPr>
          <w:i/>
          <w:iCs/>
        </w:rPr>
        <w:t xml:space="preserve">Contact : fernando.kouame@gmail.com · pieces.ci · Confidentiel · Juin 2026.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2026-07-17T21:15:38Z</dcterms:created>
  <dcterms:modified xsi:type="dcterms:W3CDTF">2026-07-17T21:15:38Z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