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Plan d’affaires · Confidentiel</w:t>
      </w:r>
    </w:p>
    <w:bookmarkStart w:id="40" w:name="Xf87aea59edda7f01fa69080c4ae917b651fe71c"/>
    <w:p>
      <w:pPr>
        <w:pStyle w:val="Heading1"/>
      </w:pPr>
      <w:r>
        <w:t xml:space="preserve">Pièces : optimiser les dépenses automobiles en Côte d’Ivoire</w:t>
      </w:r>
    </w:p>
    <w:p>
      <w:pPr>
        <w:pStyle w:val="FirstParagraph"/>
      </w:pPr>
      <w:r>
        <w:t xml:space="preserve">Pièces optimise les dépenses automobiles de tout le monde, du propriétaire d’un seul véhicule au gestionnaire d’une flotte de mille, sur un marché de la pièce détachée massif et largement informel. Ce document couvre le marché, le modèle, les projections et la levée Pre-seed recherchée.</w:t>
      </w:r>
    </w:p>
    <w:p>
      <w:pPr>
        <w:pStyle w:val="BodyText"/>
      </w:pPr>
      <w:r>
        <w:t xml:space="preserve">Le marché ivoirien de la pièce auto pèse</w:t>
      </w:r>
      <w:r>
        <w:t xml:space="preserve"> </w:t>
      </w:r>
      <w:r>
        <w:t xml:space="preserve">~250 milliards FCFA/an</w:t>
      </w:r>
      <w:r>
        <w:t xml:space="preserve">. Il est fragmenté, opaque et largement informel. Pièces le rend lisible en imposant la</w:t>
      </w:r>
      <w:r>
        <w:t xml:space="preserve"> </w:t>
      </w:r>
      <w:r>
        <w:t xml:space="preserve">transparence</w:t>
      </w:r>
      <w:r>
        <w:t xml:space="preserve">.</w:t>
      </w:r>
    </w:p>
    <w:p>
      <w:pPr>
        <w:pStyle w:val="BodyText"/>
      </w:pPr>
      <w:r>
        <w:t xml:space="preserve">Pièces vise 15-20 % du marché intermédié à 5 ans, soit 35-50 Mds FCFA de GMV et 4-6 Mds FCFA de revenu net annuel.</w:t>
      </w:r>
    </w:p>
    <w:bookmarkStart w:id="20" w:name="résumé-exécutif"/>
    <w:p>
      <w:pPr>
        <w:pStyle w:val="Heading2"/>
      </w:pPr>
      <w:r>
        <w:t xml:space="preserve">1. Résumé exécutif</w:t>
      </w:r>
    </w:p>
    <w:p>
      <w:pPr>
        <w:pStyle w:val="FirstParagraph"/>
      </w:pPr>
      <w:r>
        <w:rPr>
          <w:b/>
          <w:bCs/>
        </w:rPr>
        <w:t xml:space="preserve">Pièces optimise les dépenses automobiles de tout le monde en Côte d’Ivoire</w:t>
      </w:r>
      <w:r>
        <w:t xml:space="preserve">, du propriétaire d’un seul véhicule au gestionnaire d’une flotte de mille. La plateforme réunit trois produits sur une seule infrastructure :</w:t>
      </w:r>
    </w:p>
    <w:p>
      <w:pPr>
        <w:pStyle w:val="Compact"/>
        <w:numPr>
          <w:ilvl w:val="0"/>
          <w:numId w:val="1001"/>
        </w:numPr>
      </w:pPr>
      <w:r>
        <w:rPr>
          <w:b/>
          <w:bCs/>
        </w:rPr>
        <w:t xml:space="preserve">Marketplace tripartite</w:t>
      </w:r>
      <w:r>
        <w:t xml:space="preserve"> </w:t>
      </w:r>
      <w:r>
        <w:t xml:space="preserve">: le mécanicien identifie la pièce (recherche, photo IA, VIN), le vendeur livre, le propriétaire</w:t>
      </w:r>
      <w:r>
        <w:t xml:space="preserve"> </w:t>
      </w:r>
      <w:r>
        <w:rPr>
          <w:b/>
          <w:bCs/>
        </w:rPr>
        <w:t xml:space="preserve">paie à la livraison</w:t>
      </w:r>
      <w:r>
        <w:t xml:space="preserve">. Prix affiché, condition de la pièce affichée (chip Neuf / Occasion / Ré-usiné / Aftermarket / OEM), garantie, facture.</w:t>
      </w:r>
    </w:p>
    <w:p>
      <w:pPr>
        <w:pStyle w:val="Compact"/>
        <w:numPr>
          <w:ilvl w:val="0"/>
          <w:numId w:val="1001"/>
        </w:numPr>
      </w:pPr>
      <w:r>
        <w:rPr>
          <w:b/>
          <w:bCs/>
        </w:rPr>
        <w:t xml:space="preserve">Suite Flotte (B2B)</w:t>
      </w:r>
      <w:r>
        <w:t xml:space="preserve"> </w:t>
      </w:r>
      <w:r>
        <w:t xml:space="preserve">:</w:t>
      </w:r>
      <w:r>
        <w:t xml:space="preserve"> </w:t>
      </w:r>
      <w:r>
        <w:rPr>
          <w:rStyle w:val="VerbatimChar"/>
        </w:rPr>
        <w:t xml:space="preserve">Flotte Pro</w:t>
      </w:r>
      <w:r>
        <w:t xml:space="preserve"> </w:t>
      </w:r>
      <w:r>
        <w:t xml:space="preserve">(5 000 F/véh/mois) et</w:t>
      </w:r>
      <w:r>
        <w:t xml:space="preserve"> </w:t>
      </w:r>
      <w:r>
        <w:rPr>
          <w:rStyle w:val="VerbatimChar"/>
        </w:rPr>
        <w:t xml:space="preserve">Flotte Pro +</w:t>
      </w:r>
      <w:r>
        <w:t xml:space="preserve"> </w:t>
      </w:r>
      <w:r>
        <w:t xml:space="preserve">(10 000 F/véh/mois) assurent le pilotage du coût total de possession, la détection des véhicules « gouffres », les alertes d’entretien, la livraison express prioritaire, la facturation consolidée et la conformité fiscale.</w:t>
      </w:r>
    </w:p>
    <w:p>
      <w:pPr>
        <w:pStyle w:val="Compact"/>
        <w:numPr>
          <w:ilvl w:val="0"/>
          <w:numId w:val="1001"/>
        </w:numPr>
      </w:pPr>
      <w:r>
        <w:rPr>
          <w:b/>
          <w:bCs/>
        </w:rPr>
        <w:t xml:space="preserve">Programme Liaison</w:t>
      </w:r>
      <w:r>
        <w:t xml:space="preserve"> </w:t>
      </w:r>
      <w:r>
        <w:t xml:space="preserve">: les agents terrain digitalisent les vendeurs</w:t>
      </w:r>
      <w:r>
        <w:t xml:space="preserve"> </w:t>
      </w:r>
      <w:r>
        <w:rPr>
          <w:b/>
          <w:bCs/>
        </w:rPr>
        <w:t xml:space="preserve">formels et informels</w:t>
      </w:r>
      <w:r>
        <w:t xml:space="preserve">, de l’importateur en gros au vendeur de détail. Notre douve, c’est la</w:t>
      </w:r>
      <w:r>
        <w:t xml:space="preserve"> </w:t>
      </w:r>
      <w:r>
        <w:rPr>
          <w:b/>
          <w:bCs/>
        </w:rPr>
        <w:t xml:space="preserve">cartographie des acteurs de la chaîne</w:t>
      </w:r>
      <w:r>
        <w:t xml:space="preserve"> </w:t>
      </w:r>
      <w:r>
        <w:t xml:space="preserve">et la</w:t>
      </w:r>
      <w:r>
        <w:t xml:space="preserve"> </w:t>
      </w:r>
      <w:r>
        <w:rPr>
          <w:b/>
          <w:bCs/>
        </w:rPr>
        <w:t xml:space="preserve">digitalisation de leurs produits, même quand ils ne sont pas sur internet</w:t>
      </w:r>
      <w:r>
        <w:t xml:space="preserve">.</w:t>
      </w:r>
    </w:p>
    <w:p>
      <w:pPr>
        <w:pStyle w:val="FirstParagraph"/>
      </w:pPr>
      <w:r>
        <w:t xml:space="preserve">La plateforme est</w:t>
      </w:r>
      <w:r>
        <w:t xml:space="preserve"> </w:t>
      </w:r>
      <w:r>
        <w:rPr>
          <w:b/>
          <w:bCs/>
        </w:rPr>
        <w:t xml:space="preserve">construite et déployée</w:t>
      </w:r>
      <w:r>
        <w:t xml:space="preserve"> </w:t>
      </w:r>
      <w:r>
        <w:t xml:space="preserve">: marketplace, paiement à la livraison, dashboard flotte, calculateur ROI, bot WhatsApp, et un catalogue de</w:t>
      </w:r>
      <w:r>
        <w:t xml:space="preserve"> </w:t>
      </w:r>
      <w:r>
        <w:rPr>
          <w:b/>
          <w:bCs/>
        </w:rPr>
        <w:t xml:space="preserve">7 137 annonces</w:t>
      </w:r>
      <w:r>
        <w:t xml:space="preserve"> </w:t>
      </w:r>
      <w:r>
        <w:t xml:space="preserve">déjà ingérées. Le portail entreprise est en ligne sur</w:t>
      </w:r>
      <w:r>
        <w:t xml:space="preserve"> </w:t>
      </w:r>
      <w:r>
        <w:rPr>
          <w:rStyle w:val="VerbatimChar"/>
        </w:rPr>
        <w:t xml:space="preserve">flotte.pieces.ci</w:t>
      </w:r>
      <w:r>
        <w:t xml:space="preserve">.</w:t>
      </w:r>
    </w:p>
    <w:p>
      <w:pPr>
        <w:pStyle w:val="BodyText"/>
      </w:pPr>
      <w:r>
        <w:rPr>
          <w:b/>
          <w:bCs/>
        </w:rPr>
        <w:t xml:space="preserve">La demande</w:t>
      </w:r>
      <w:r>
        <w:t xml:space="preserve"> </w:t>
      </w:r>
      <w:r>
        <w:t xml:space="preserve">: nous levons un tour</w:t>
      </w:r>
      <w:r>
        <w:t xml:space="preserve"> </w:t>
      </w:r>
      <w:r>
        <w:rPr>
          <w:b/>
          <w:bCs/>
        </w:rPr>
        <w:t xml:space="preserve">Pre-seed de ~1 M EUR (≈ 655 M FCFA)</w:t>
      </w:r>
      <w:r>
        <w:t xml:space="preserve"> </w:t>
      </w:r>
      <w:r>
        <w:t xml:space="preserve">pour financer 18 à 20 mois d’exécution : verrouiller le catalogue de 90 % des pièces du marché, prendre la verticale VTC via un partenariat Yango et atteindre les jalons d’un Seed.</w:t>
      </w:r>
    </w:p>
    <w:p>
      <w:pPr>
        <w:pStyle w:val="BodyText"/>
      </w:pPr>
      <w:r>
        <w:t xml:space="preserve">Objectif 18 mois :</w:t>
      </w:r>
      <w:r>
        <w:t xml:space="preserve"> </w:t>
      </w:r>
      <w:r>
        <w:t xml:space="preserve">1 500 véhicules sous abonnement</w:t>
      </w:r>
      <w:r>
        <w:t xml:space="preserve">,</w:t>
      </w:r>
      <w:r>
        <w:t xml:space="preserve"> </w:t>
      </w:r>
      <w:r>
        <w:t xml:space="preserve">600 commandes/jour</w:t>
      </w:r>
      <w:r>
        <w:t xml:space="preserve">, GMV mensuel &gt; 250 M FCFA, et break-even opérationnel à Abidjan.</w:t>
      </w:r>
    </w:p>
    <w:bookmarkEnd w:id="20"/>
    <w:bookmarkStart w:id="21" w:name="le-problème"/>
    <w:p>
      <w:pPr>
        <w:pStyle w:val="Heading2"/>
      </w:pPr>
      <w:r>
        <w:t xml:space="preserve">2. Le problème</w:t>
      </w:r>
    </w:p>
    <w:p>
      <w:pPr>
        <w:pStyle w:val="FirstParagraph"/>
      </w:pPr>
      <w:r>
        <w:t xml:space="preserve">À Abidjan, acheter une pièce auto fiable, au bon prix, livrée dans la journée, est un parcours du combattant. Le marché est</w:t>
      </w:r>
      <w:r>
        <w:t xml:space="preserve"> </w:t>
      </w:r>
      <w:r>
        <w:rPr>
          <w:b/>
          <w:bCs/>
        </w:rPr>
        <w:t xml:space="preserve">principalement informel</w:t>
      </w:r>
      <w:r>
        <w:t xml:space="preserve"> </w:t>
      </w:r>
      <w:r>
        <w:t xml:space="preserve">: quelques acteurs sont en ligne, mais l’immense majorité des vendeurs (magasins d’Adjamé, Yopougon, Marcory) vendent sans catalogue, sans prix affiché et avec des garanties diverses.</w:t>
      </w:r>
    </w:p>
    <w:p>
      <w:pPr>
        <w:pStyle w:val="BodyText"/>
      </w:pPr>
      <w:r>
        <w:t xml:space="preserve">Surtout,</w:t>
      </w:r>
      <w:r>
        <w:t xml:space="preserve"> </w:t>
      </w:r>
      <w:r>
        <w:rPr>
          <w:b/>
          <w:bCs/>
        </w:rPr>
        <w:t xml:space="preserve">entre l’importateur et le capot du véhicule, chaque intermédiaire ajoute sa marge</w:t>
      </w:r>
      <w:r>
        <w:t xml:space="preserve"> </w:t>
      </w:r>
      <w:r>
        <w:t xml:space="preserve">: grossiste, semi-grossiste, détaillant, et souvent le mécanicien à qui l’on confie l’achat. L’acheteur final paie l’accumulation de ces marges opaques, sans jamais voir le vrai prix.</w:t>
      </w:r>
    </w:p>
    <w:p>
      <w:pPr>
        <w:pStyle w:val="Compact"/>
        <w:numPr>
          <w:ilvl w:val="0"/>
          <w:numId w:val="1002"/>
        </w:numPr>
      </w:pPr>
      <w:r>
        <w:rPr>
          <w:b/>
          <w:bCs/>
        </w:rPr>
        <w:t xml:space="preserve">Le propriétaire</w:t>
      </w:r>
      <w:r>
        <w:t xml:space="preserve"> </w:t>
      </w:r>
      <w:r>
        <w:t xml:space="preserve">paie 30 à 60 % trop cher, faute de prix de référence et sans aucune garantie. Le surcoût grandit avec chaque intermédiaire sur la pièce.</w:t>
      </w:r>
    </w:p>
    <w:p>
      <w:pPr>
        <w:pStyle w:val="Compact"/>
        <w:numPr>
          <w:ilvl w:val="0"/>
          <w:numId w:val="1002"/>
        </w:numPr>
      </w:pPr>
      <w:r>
        <w:rPr>
          <w:b/>
          <w:bCs/>
        </w:rPr>
        <w:t xml:space="preserve">Le gestionnaire de flotte</w:t>
      </w:r>
      <w:r>
        <w:t xml:space="preserve"> </w:t>
      </w:r>
      <w:r>
        <w:t xml:space="preserve">perd</w:t>
      </w:r>
      <w:r>
        <w:t xml:space="preserve"> </w:t>
      </w:r>
      <w:r>
        <w:rPr>
          <w:b/>
          <w:bCs/>
        </w:rPr>
        <w:t xml:space="preserve">25 000 à 50 000 FCFA par jour et par véhicule immobilisé</w:t>
      </w:r>
      <w:r>
        <w:t xml:space="preserve">, et ne sait pas où part son budget pièces.</w:t>
      </w:r>
    </w:p>
    <w:p>
      <w:pPr>
        <w:pStyle w:val="Compact"/>
        <w:numPr>
          <w:ilvl w:val="0"/>
          <w:numId w:val="1002"/>
        </w:numPr>
      </w:pPr>
      <w:r>
        <w:rPr>
          <w:b/>
          <w:bCs/>
        </w:rPr>
        <w:t xml:space="preserve">La confiance manque</w:t>
      </w:r>
      <w:r>
        <w:t xml:space="preserve"> </w:t>
      </w:r>
      <w:r>
        <w:t xml:space="preserve">: pièces contrefaites fréquentes, ni garantie, ni facture, ni recours.</w:t>
      </w:r>
    </w:p>
    <w:p>
      <w:pPr>
        <w:pStyle w:val="Compact"/>
        <w:numPr>
          <w:ilvl w:val="0"/>
          <w:numId w:val="1002"/>
        </w:numPr>
      </w:pPr>
      <w:r>
        <w:rPr>
          <w:b/>
          <w:bCs/>
        </w:rPr>
        <w:t xml:space="preserve">Le vendeur</w:t>
      </w:r>
      <w:r>
        <w:t xml:space="preserve">, de l’importateur en gros au détaillant, n’a aucun moyen de toucher une clientèle au-delà de son comptoir.</w:t>
      </w:r>
    </w:p>
    <w:p>
      <w:pPr>
        <w:pStyle w:val="Compact"/>
        <w:numPr>
          <w:ilvl w:val="0"/>
          <w:numId w:val="1002"/>
        </w:numPr>
      </w:pPr>
      <w:r>
        <w:rPr>
          <w:b/>
          <w:bCs/>
        </w:rPr>
        <w:t xml:space="preserve">L’État</w:t>
      </w:r>
      <w:r>
        <w:t xml:space="preserve"> </w:t>
      </w:r>
      <w:r>
        <w:t xml:space="preserve">ne perçoit ni TVA ni traçabilité sur un pan entier de l’économie.</w:t>
      </w:r>
    </w:p>
    <w:bookmarkEnd w:id="21"/>
    <w:bookmarkStart w:id="22" w:name="la-solution-le-produit"/>
    <w:p>
      <w:pPr>
        <w:pStyle w:val="Heading2"/>
      </w:pPr>
      <w:r>
        <w:t xml:space="preserve">3. La solution &amp; le produit</w:t>
      </w:r>
    </w:p>
    <w:p>
      <w:pPr>
        <w:pStyle w:val="FirstParagraph"/>
      </w:pPr>
      <w:r>
        <w:t xml:space="preserve">Pièces rend la chaîne</w:t>
      </w:r>
      <w:r>
        <w:t xml:space="preserve"> </w:t>
      </w:r>
      <w:r>
        <w:rPr>
          <w:b/>
          <w:bCs/>
        </w:rPr>
        <w:t xml:space="preserve">transparente et concurrentielle</w:t>
      </w:r>
      <w:r>
        <w:t xml:space="preserve"> </w:t>
      </w:r>
      <w:r>
        <w:t xml:space="preserve">: l’acheteur voit le prix réel, compare les fournisseurs et achète au plus près de la source, quel que soit le nombre d’intermédiaires. Les marges opaques s’effondrent et le surcoût disparaît.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Brique</w:t>
            </w:r>
          </w:p>
        </w:tc>
        <w:tc>
          <w:tcPr/>
          <w:p>
            <w:pPr>
              <w:pStyle w:val="Compact"/>
            </w:pPr>
            <w:r>
              <w:t xml:space="preserve">Ce qu’elle résout</w:t>
            </w:r>
          </w:p>
        </w:tc>
        <w:tc>
          <w:tcPr/>
          <w:p>
            <w:pPr>
              <w:pStyle w:val="Compact"/>
            </w:pPr>
            <w:r>
              <w:t xml:space="preserve">Statut</w:t>
            </w:r>
          </w:p>
        </w:tc>
      </w:tr>
      <w:tr>
        <w:tc>
          <w:tcPr/>
          <w:p>
            <w:pPr>
              <w:pStyle w:val="Compact"/>
            </w:pPr>
            <w:r>
              <w:rPr>
                <w:b/>
                <w:bCs/>
              </w:rPr>
              <w:t xml:space="preserve">Marketplace + Garantie</w:t>
            </w:r>
          </w:p>
        </w:tc>
        <w:tc>
          <w:tcPr/>
          <w:p>
            <w:pPr>
              <w:pStyle w:val="Compact"/>
            </w:pPr>
            <w:r>
              <w:t xml:space="preserve">Confiance, prix transparent, garantie, facture</w:t>
            </w:r>
          </w:p>
        </w:tc>
        <w:tc>
          <w:tcPr/>
          <w:p>
            <w:pPr>
              <w:pStyle w:val="Compact"/>
            </w:pPr>
            <w:r>
              <w:t xml:space="preserve">En production</w:t>
            </w:r>
          </w:p>
        </w:tc>
      </w:tr>
      <w:tr>
        <w:tc>
          <w:tcPr/>
          <w:p>
            <w:pPr>
              <w:pStyle w:val="Compact"/>
            </w:pPr>
            <w:r>
              <w:rPr>
                <w:b/>
                <w:bCs/>
              </w:rPr>
              <w:t xml:space="preserve">Recherche pièce (texte / photo IA / VIN)</w:t>
            </w:r>
          </w:p>
        </w:tc>
        <w:tc>
          <w:tcPr/>
          <w:p>
            <w:pPr>
              <w:pStyle w:val="Compact"/>
            </w:pPr>
            <w:r>
              <w:t xml:space="preserve">Identification fiable, compatibilité véhicule CI</w:t>
            </w:r>
          </w:p>
        </w:tc>
        <w:tc>
          <w:tcPr/>
          <w:p>
            <w:pPr>
              <w:pStyle w:val="Compact"/>
            </w:pPr>
            <w:r>
              <w:t xml:space="preserve">En production</w:t>
            </w:r>
          </w:p>
        </w:tc>
      </w:tr>
      <w:tr>
        <w:tc>
          <w:tcPr/>
          <w:p>
            <w:pPr>
              <w:pStyle w:val="Compact"/>
            </w:pPr>
            <w:r>
              <w:rPr>
                <w:b/>
                <w:bCs/>
              </w:rPr>
              <w:t xml:space="preserve">Suite Flotte (Pro / Pro +)</w:t>
            </w:r>
          </w:p>
        </w:tc>
        <w:tc>
          <w:tcPr/>
          <w:p>
            <w:pPr>
              <w:pStyle w:val="Compact"/>
            </w:pPr>
            <w:r>
              <w:t xml:space="preserve">Pilotage coût, alertes, livraison express, conformité</w:t>
            </w:r>
          </w:p>
        </w:tc>
        <w:tc>
          <w:tcPr/>
          <w:p>
            <w:pPr>
              <w:pStyle w:val="Compact"/>
            </w:pPr>
            <w:r>
              <w:t xml:space="preserve">En production</w:t>
            </w:r>
          </w:p>
        </w:tc>
      </w:tr>
      <w:tr>
        <w:tc>
          <w:tcPr/>
          <w:p>
            <w:pPr>
              <w:pStyle w:val="Compact"/>
            </w:pPr>
            <w:r>
              <w:rPr>
                <w:b/>
                <w:bCs/>
              </w:rPr>
              <w:t xml:space="preserve">Calculateur ROI flotte</w:t>
            </w:r>
          </w:p>
        </w:tc>
        <w:tc>
          <w:tcPr/>
          <w:p>
            <w:pPr>
              <w:pStyle w:val="Compact"/>
            </w:pPr>
            <w:r>
              <w:t xml:space="preserve">Preuve chiffrée à la vente B2B</w:t>
            </w:r>
          </w:p>
        </w:tc>
        <w:tc>
          <w:tcPr/>
          <w:p>
            <w:pPr>
              <w:pStyle w:val="Compact"/>
            </w:pPr>
            <w:r>
              <w:t xml:space="preserve">En production</w:t>
            </w:r>
          </w:p>
        </w:tc>
      </w:tr>
      <w:tr>
        <w:tc>
          <w:tcPr/>
          <w:p>
            <w:pPr>
              <w:pStyle w:val="Compact"/>
            </w:pPr>
            <w:r>
              <w:rPr>
                <w:b/>
                <w:bCs/>
              </w:rPr>
              <w:t xml:space="preserve">Bot WhatsApp</w:t>
            </w:r>
          </w:p>
        </w:tc>
        <w:tc>
          <w:tcPr/>
          <w:p>
            <w:pPr>
              <w:pStyle w:val="Compact"/>
            </w:pPr>
            <w:r>
              <w:t xml:space="preserve">Canal d’entrée n°1</w:t>
            </w:r>
          </w:p>
        </w:tc>
        <w:tc>
          <w:tcPr/>
          <w:p>
            <w:pPr>
              <w:pStyle w:val="Compact"/>
            </w:pPr>
            <w:r>
              <w:t xml:space="preserve">En production</w:t>
            </w:r>
          </w:p>
        </w:tc>
      </w:tr>
      <w:tr>
        <w:tc>
          <w:tcPr/>
          <w:p>
            <w:pPr>
              <w:pStyle w:val="Compact"/>
            </w:pPr>
            <w:r>
              <w:rPr>
                <w:b/>
                <w:bCs/>
              </w:rPr>
              <w:t xml:space="preserve">Programme &amp; app Liaison</w:t>
            </w:r>
          </w:p>
        </w:tc>
        <w:tc>
          <w:tcPr/>
          <w:p>
            <w:pPr>
              <w:pStyle w:val="Compact"/>
            </w:pPr>
            <w:r>
              <w:t xml:space="preserve">Onboarding vendeurs à grande échelle</w:t>
            </w:r>
          </w:p>
        </w:tc>
        <w:tc>
          <w:tcPr/>
          <w:p>
            <w:pPr>
              <w:pStyle w:val="Compact"/>
            </w:pPr>
            <w:r>
              <w:t xml:space="preserve">V1, à industrialiser</w:t>
            </w:r>
          </w:p>
        </w:tc>
      </w:tr>
      <w:tr>
        <w:tc>
          <w:tcPr/>
          <w:p>
            <w:pPr>
              <w:pStyle w:val="Compact"/>
            </w:pPr>
            <w:r>
              <w:rPr>
                <w:b/>
                <w:bCs/>
              </w:rPr>
              <w:t xml:space="preserve">Facturation normalisée FNE-CI / DGI</w:t>
            </w:r>
          </w:p>
        </w:tc>
        <w:tc>
          <w:tcPr/>
          <w:p>
            <w:pPr>
              <w:pStyle w:val="Compact"/>
            </w:pPr>
            <w:r>
              <w:t xml:space="preserve">Verrou réglementaire, récupération TVA flottes</w:t>
            </w:r>
          </w:p>
        </w:tc>
        <w:tc>
          <w:tcPr/>
          <w:p>
            <w:pPr>
              <w:pStyle w:val="Compact"/>
            </w:pPr>
            <w:r>
              <w:t xml:space="preserve">Roadmap P1</w:t>
            </w:r>
          </w:p>
        </w:tc>
      </w:tr>
    </w:tbl>
    <w:bookmarkEnd w:id="22"/>
    <w:bookmarkStart w:id="26" w:name="le-marché"/>
    <w:p>
      <w:pPr>
        <w:pStyle w:val="Heading2"/>
      </w:pPr>
      <w:r>
        <w:t xml:space="preserve">4. Le marché</w:t>
      </w:r>
    </w:p>
    <w:bookmarkStart w:id="23" w:name="Xb20771819b680055aeddf4f8e247f9dad958ed3"/>
    <w:p>
      <w:pPr>
        <w:pStyle w:val="Heading3"/>
      </w:pPr>
      <w:r>
        <w:t xml:space="preserve">4.1 Dimensionnement (triangulation publique + bottom-up)</w:t>
      </w:r>
    </w:p>
    <w:p>
      <w:pPr>
        <w:pStyle w:val="FirstParagraph"/>
      </w:pPr>
      <w:r>
        <w:t xml:space="preserve">Le parc automobile national est estimé à</w:t>
      </w:r>
      <w:r>
        <w:t xml:space="preserve"> </w:t>
      </w:r>
      <w:r>
        <w:rPr>
          <w:b/>
          <w:bCs/>
        </w:rPr>
        <w:t xml:space="preserve">~1,2 million de véhicules</w:t>
      </w:r>
      <w:r>
        <w:t xml:space="preserve"> </w:t>
      </w:r>
      <w:r>
        <w:t xml:space="preserve">(Ministère des Transports, 2022), dont la majorité circule dans le Grand Abidjan. Le chiffre d’affaires du secteur automobile ivoirien est de</w:t>
      </w:r>
      <w:r>
        <w:t xml:space="preserve"> </w:t>
      </w:r>
      <w:r>
        <w:rPr>
          <w:b/>
          <w:bCs/>
        </w:rPr>
        <w:t xml:space="preserve">~400-420 Mds FCFA/an</w:t>
      </w:r>
      <w:r>
        <w:t xml:space="preserve">. Les importations de véhicules neufs ont triplé depuis 2017 (≈ 27 000 en 2024, objectif ~50 000 en 2025), rajeunissant le parc et augmentant la consommation de pièces de qualité.</w:t>
      </w:r>
    </w:p>
    <w:p>
      <w:pPr>
        <w:pStyle w:val="BodyText"/>
      </w:pPr>
      <w:r>
        <w:t xml:space="preserve">Estimation bottom-up du marché de la</w:t>
      </w:r>
      <w:r>
        <w:t xml:space="preserve"> </w:t>
      </w:r>
      <w:r>
        <w:rPr>
          <w:b/>
          <w:bCs/>
        </w:rPr>
        <w:t xml:space="preserve">pièce détachée seule</w:t>
      </w:r>
      <w:r>
        <w:t xml:space="preserve"> </w:t>
      </w:r>
      <w:r>
        <w:t xml:space="preserve">(parc × dépense annuelle moyenne)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 (Abidjan)</w:t>
            </w:r>
          </w:p>
        </w:tc>
        <w:tc>
          <w:tcPr/>
          <w:p>
            <w:pPr>
              <w:pStyle w:val="Compact"/>
            </w:pPr>
            <w:r>
              <w:t xml:space="preserve">Dépense pièces/véh/an</w:t>
            </w:r>
          </w:p>
        </w:tc>
        <w:tc>
          <w:tcPr/>
          <w:p>
            <w:pPr>
              <w:pStyle w:val="Compact"/>
            </w:pPr>
            <w:r>
              <w:t xml:space="preserve">Marché/an</w:t>
            </w:r>
          </w:p>
        </w:tc>
      </w:tr>
      <w:tr>
        <w:tc>
          <w:tcPr/>
          <w:p>
            <w:pPr>
              <w:pStyle w:val="Compact"/>
            </w:pPr>
            <w:r>
              <w:t xml:space="preserve">Parc particulier</w:t>
            </w:r>
          </w:p>
        </w:tc>
        <w:tc>
          <w:tcPr/>
          <w:p>
            <w:pPr>
              <w:pStyle w:val="Compact"/>
            </w:pPr>
            <w:r>
              <w:t xml:space="preserve">~600 000</w:t>
            </w:r>
          </w:p>
        </w:tc>
        <w:tc>
          <w:tcPr/>
          <w:p>
            <w:pPr>
              <w:pStyle w:val="Compact"/>
            </w:pPr>
            <w:r>
              <w:t xml:space="preserve">180 000 F</w:t>
            </w:r>
          </w:p>
        </w:tc>
        <w:tc>
          <w:tcPr/>
          <w:p>
            <w:pPr>
              <w:pStyle w:val="Compact"/>
            </w:pPr>
            <w:r>
              <w:t xml:space="preserve">~108 Mds F</w:t>
            </w:r>
          </w:p>
        </w:tc>
      </w:tr>
      <w:tr>
        <w:tc>
          <w:tcPr/>
          <w:p>
            <w:pPr>
              <w:pStyle w:val="Compact"/>
            </w:pPr>
            <w:r>
              <w:rPr>
                <w:b/>
                <w:bCs/>
              </w:rPr>
              <w:t xml:space="preserve">VTC (Yango ~25 000, Heetch, inDrive, indép.)</w:t>
            </w:r>
          </w:p>
        </w:tc>
        <w:tc>
          <w:tcPr/>
          <w:p>
            <w:pPr>
              <w:pStyle w:val="Compact"/>
            </w:pPr>
            <w:r>
              <w:t xml:space="preserve">~25 000-30 000</w:t>
            </w:r>
          </w:p>
        </w:tc>
        <w:tc>
          <w:tcPr/>
          <w:p>
            <w:pPr>
              <w:pStyle w:val="Compact"/>
            </w:pPr>
            <w:r>
              <w:t xml:space="preserve">1 300 000 F</w:t>
            </w:r>
          </w:p>
        </w:tc>
        <w:tc>
          <w:tcPr/>
          <w:p>
            <w:pPr>
              <w:pStyle w:val="Compact"/>
            </w:pPr>
            <w:r>
              <w:t xml:space="preserve">~36 Mds F</w:t>
            </w:r>
          </w:p>
        </w:tc>
      </w:tr>
      <w:tr>
        <w:tc>
          <w:tcPr/>
          <w:p>
            <w:pPr>
              <w:pStyle w:val="Compact"/>
            </w:pPr>
            <w:r>
              <w:t xml:space="preserve">Taxis communaux / woro-woro</w:t>
            </w:r>
          </w:p>
        </w:tc>
        <w:tc>
          <w:tcPr/>
          <w:p>
            <w:pPr>
              <w:pStyle w:val="Compact"/>
            </w:pPr>
            <w:r>
              <w:t xml:space="preserve">~18 000</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w:t>
            </w:r>
          </w:p>
        </w:tc>
        <w:tc>
          <w:tcPr/>
          <w:p>
            <w:pPr>
              <w:pStyle w:val="Compact"/>
            </w:pPr>
            <w:r>
              <w:t xml:space="preserve">600 000 F</w:t>
            </w:r>
          </w:p>
        </w:tc>
        <w:tc>
          <w:tcPr/>
          <w:p>
            <w:pPr>
              <w:pStyle w:val="Compact"/>
            </w:pPr>
            <w:r>
              <w:t xml:space="preserve">~7 Mds F</w:t>
            </w:r>
          </w:p>
        </w:tc>
      </w:tr>
      <w:tr>
        <w:tc>
          <w:tcPr/>
          <w:p>
            <w:pPr>
              <w:pStyle w:val="Compact"/>
            </w:pPr>
            <w:r>
              <w:t xml:space="preserve">BTP / engins légers</w:t>
            </w:r>
          </w:p>
        </w:tc>
        <w:tc>
          <w:tcPr/>
          <w:p>
            <w:pPr>
              <w:pStyle w:val="Compact"/>
            </w:pPr>
            <w:r>
              <w:t xml:space="preserve">~8 000</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p>
        </w:tc>
        <w:tc>
          <w:tcPr/>
          <w:p>
            <w:pPr>
              <w:pStyle w:val="Compact"/>
            </w:pPr>
          </w:p>
        </w:tc>
        <w:tc>
          <w:tcPr/>
          <w:p>
            <w:pPr>
              <w:pStyle w:val="Compact"/>
            </w:pPr>
            <w:r>
              <w:rPr>
                <w:b/>
                <w:bCs/>
              </w:rPr>
              <w:t xml:space="preserve">~172 Mds F/an</w:t>
            </w:r>
          </w:p>
        </w:tc>
      </w:tr>
    </w:tbl>
    <w:p>
      <w:pPr>
        <w:pStyle w:val="BodyText"/>
      </w:pPr>
      <w:r>
        <w:t xml:space="preserve">En ajoutant Bouaké, San Pedro, Yamoussoukro, Korhogo →</w:t>
      </w:r>
      <w:r>
        <w:t xml:space="preserve"> </w:t>
      </w:r>
      <w:r>
        <w:rPr>
          <w:b/>
          <w:bCs/>
        </w:rPr>
        <w:t xml:space="preserve">marché national ~250 Mds FCFA/an</w:t>
      </w:r>
      <w:r>
        <w:t xml:space="preserve"> </w:t>
      </w:r>
      <w:r>
        <w:t xml:space="preserve">sur la pièce seule (le double avec la main-d’œuvre).</w:t>
      </w:r>
    </w:p>
    <w:p>
      <w:pPr>
        <w:pStyle w:val="BodyText"/>
      </w:pPr>
      <w:r>
        <w:t xml:space="preserve">TAM</w:t>
      </w:r>
      <w:r>
        <w:t xml:space="preserve"> </w:t>
      </w:r>
      <w:r>
        <w:t xml:space="preserve">~250 Mds F</w:t>
      </w:r>
      <w:r>
        <w:t xml:space="preserve"> </w:t>
      </w:r>
      <w:r>
        <w:t xml:space="preserve">(national, pièces) · SAM</w:t>
      </w:r>
      <w:r>
        <w:t xml:space="preserve"> </w:t>
      </w:r>
      <w:r>
        <w:t xml:space="preserve">~172 Mds F</w:t>
      </w:r>
      <w:r>
        <w:t xml:space="preserve"> </w:t>
      </w:r>
      <w:r>
        <w:t xml:space="preserve">(Abidjan adressable) · SOM 5 ans</w:t>
      </w:r>
      <w:r>
        <w:t xml:space="preserve"> </w:t>
      </w:r>
      <w:r>
        <w:t xml:space="preserve">35-50 Mds F</w:t>
      </w:r>
      <w:r>
        <w:t xml:space="preserve"> </w:t>
      </w:r>
      <w:r>
        <w:t xml:space="preserve">de GMV intermédié.</w:t>
      </w:r>
    </w:p>
    <w:bookmarkEnd w:id="23"/>
    <w:bookmarkStart w:id="24" w:name="le-vtc-le-meilleur-point-dentrée"/>
    <w:p>
      <w:pPr>
        <w:pStyle w:val="Heading3"/>
      </w:pPr>
      <w:r>
        <w:t xml:space="preserve">4.2 Le VTC : le meilleur point d’entrée</w:t>
      </w:r>
    </w:p>
    <w:p>
      <w:pPr>
        <w:pStyle w:val="FirstParagraph"/>
      </w:pPr>
      <w:r>
        <w:t xml:space="preserve">Le secteur a explosé : de</w:t>
      </w:r>
      <w:r>
        <w:t xml:space="preserve"> </w:t>
      </w:r>
      <w:r>
        <w:rPr>
          <w:b/>
          <w:bCs/>
        </w:rPr>
        <w:t xml:space="preserve">5 000-6 000 chauffeurs en 2024</w:t>
      </w:r>
      <w:r>
        <w:t xml:space="preserve"> </w:t>
      </w:r>
      <w:r>
        <w:t xml:space="preserve">à</w:t>
      </w:r>
      <w:r>
        <w:t xml:space="preserve"> </w:t>
      </w:r>
      <w:r>
        <w:rPr>
          <w:b/>
          <w:bCs/>
        </w:rPr>
        <w:t xml:space="preserve">~30 000 véhicules VTC en activité début 2026</w:t>
      </w:r>
      <w:r>
        <w:t xml:space="preserve"> </w:t>
      </w:r>
      <w:r>
        <w:t xml:space="preserve">au niveau national (estimation Déclic Car), et plus de 20 000 emplois créés.</w:t>
      </w:r>
      <w:r>
        <w:t xml:space="preserve"> </w:t>
      </w:r>
      <w:r>
        <w:rPr>
          <w:b/>
          <w:bCs/>
        </w:rPr>
        <w:t xml:space="preserve">Uber a quitté la Côte d’Ivoire le 25 septembre 2025</w:t>
      </w:r>
      <w:r>
        <w:t xml:space="preserve">, laissant</w:t>
      </w:r>
      <w:r>
        <w:t xml:space="preserve"> </w:t>
      </w:r>
      <w:r>
        <w:rPr>
          <w:b/>
          <w:bCs/>
        </w:rPr>
        <w:t xml:space="preserve">Yango ultra-dominant</w:t>
      </w:r>
      <w:r>
        <w:t xml:space="preserve"> </w:t>
      </w:r>
      <w:r>
        <w:t xml:space="preserve">: la plateforme revendique</w:t>
      </w:r>
      <w:r>
        <w:t xml:space="preserve"> </w:t>
      </w:r>
      <w:r>
        <w:rPr>
          <w:b/>
          <w:bCs/>
        </w:rPr>
        <w:t xml:space="preserve">~25 000 véhicules à Abidjan, ~100 000 courses par jour, et plus de 160 entreprises de flotte</w:t>
      </w:r>
      <w:r>
        <w:t xml:space="preserve"> </w:t>
      </w:r>
      <w:r>
        <w:t xml:space="preserve">créées dans son sillage (bureau régional Afrique de l’Ouest ouvert à Abidjan en juillet 2025). Heetch et inDrive complètent le marché.</w:t>
      </w:r>
    </w:p>
    <w:p>
      <w:pPr>
        <w:pStyle w:val="BodyText"/>
      </w:pPr>
      <w:r>
        <w:t xml:space="preserve">La demande de mobilité est massive (</w:t>
      </w:r>
      <w:r>
        <w:rPr>
          <w:b/>
          <w:bCs/>
        </w:rPr>
        <w:t xml:space="preserve">~4 milliards FCFA dépensés par jour en déplacements à Abidjan</w:t>
      </w:r>
      <w:r>
        <w:t xml:space="preserve">) et Yango recrute en continu : le marché est tiré par la demande, pas saturé côté offre.</w:t>
      </w:r>
    </w:p>
    <w:p>
      <w:pPr>
        <w:pStyle w:val="BodyText"/>
      </w:pPr>
      <w:r>
        <w:t xml:space="preserve">Le VTC n’est pas le plus gros segment du parc, mais c’est</w:t>
      </w:r>
      <w:r>
        <w:t xml:space="preserve"> </w:t>
      </w:r>
      <w:r>
        <w:rPr>
          <w:b/>
          <w:bCs/>
        </w:rPr>
        <w:t xml:space="preserve">le meilleur point d’entrée</w:t>
      </w:r>
      <w:r>
        <w:t xml:space="preserve"> </w:t>
      </w:r>
      <w:r>
        <w:t xml:space="preserve">: un véhicule VTC roule</w:t>
      </w:r>
      <w:r>
        <w:t xml:space="preserve"> </w:t>
      </w:r>
      <w:r>
        <w:rPr>
          <w:b/>
          <w:bCs/>
        </w:rPr>
        <w:t xml:space="preserve">~44 000 km/an</w:t>
      </w:r>
      <w:r>
        <w:t xml:space="preserve"> </w:t>
      </w:r>
      <w:r>
        <w:t xml:space="preserve">(3× un particulier), use ses pièces 3× plus vite (dépense pièces</w:t>
      </w:r>
      <w:r>
        <w:t xml:space="preserve"> </w:t>
      </w:r>
      <w:r>
        <w:rPr>
          <w:b/>
          <w:bCs/>
        </w:rPr>
        <w:t xml:space="preserve">~1,3 M FCFA/véh/an</w:t>
      </w:r>
      <w:r>
        <w:t xml:space="preserve">), et chaque jour d’immobilisation détruit directement du revenu (15 000-30 000 F/jour). La douleur est aiguë, récurrente et mesurable : idéale pour prouver le ROI, bâtir les cas clients et la base de données de compatibilité avant d’étendre au parc entier.</w:t>
      </w:r>
      <w:r>
        <w:t xml:space="preserve"> </w:t>
      </w:r>
      <w:r>
        <w:rPr>
          <w:b/>
          <w:bCs/>
        </w:rPr>
        <w:t xml:space="preserve">Les ~160 entreprises de flotte du réseau Yango sont des cibles B2B concentrées et immédiatement adressables.</w:t>
      </w:r>
    </w:p>
    <w:bookmarkEnd w:id="24"/>
    <w:bookmarkStart w:id="25" w:name="dynamique"/>
    <w:p>
      <w:pPr>
        <w:pStyle w:val="Heading3"/>
      </w:pPr>
      <w:r>
        <w:t xml:space="preserve">4.3 Dynamique</w:t>
      </w:r>
    </w:p>
    <w:p>
      <w:pPr>
        <w:pStyle w:val="FirstParagraph"/>
      </w:pPr>
      <w:r>
        <w:t xml:space="preserve">Quatre tendances poussent dans le même sens : la restriction de l’âge des véhicules importés, le rajeunissement du parc, la digitalisation accrue des moyens de paiement et la formalisation fiscale (FNE-CI). L’après-vente automobile se digitalise, et le moment d’entrer, c’est</w:t>
      </w:r>
      <w:r>
        <w:t xml:space="preserve"> </w:t>
      </w:r>
      <w:r>
        <w:rPr>
          <w:b/>
          <w:bCs/>
        </w:rPr>
        <w:t xml:space="preserve">maintenant</w:t>
      </w:r>
      <w:r>
        <w:t xml:space="preserve">.</w:t>
      </w:r>
    </w:p>
    <w:bookmarkEnd w:id="25"/>
    <w:bookmarkEnd w:id="26"/>
    <w:bookmarkStart w:id="27" w:name="concurrence-douve"/>
    <w:p>
      <w:pPr>
        <w:pStyle w:val="Heading2"/>
      </w:pPr>
      <w:r>
        <w:t xml:space="preserve">5. Concurrence &amp; douve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Acteur</w:t>
            </w:r>
          </w:p>
        </w:tc>
        <w:tc>
          <w:tcPr/>
          <w:p>
            <w:pPr>
              <w:pStyle w:val="Compact"/>
            </w:pPr>
            <w:r>
              <w:t xml:space="preserve">Menace</w:t>
            </w:r>
          </w:p>
        </w:tc>
        <w:tc>
          <w:tcPr/>
          <w:p>
            <w:pPr>
              <w:pStyle w:val="Compact"/>
            </w:pPr>
            <w:r>
              <w:t xml:space="preserve">Notre réponse</w:t>
            </w:r>
          </w:p>
        </w:tc>
      </w:tr>
      <w:tr>
        <w:tc>
          <w:tcPr/>
          <w:p>
            <w:pPr>
              <w:pStyle w:val="Compact"/>
            </w:pPr>
            <w:r>
              <w:rPr>
                <w:b/>
                <w:bCs/>
              </w:rPr>
              <w:t xml:space="preserve">Magasins + WhatsApp + Excel</w:t>
            </w:r>
          </w:p>
        </w:tc>
        <w:tc>
          <w:tcPr/>
          <w:p>
            <w:pPr>
              <w:pStyle w:val="Compact"/>
            </w:pPr>
            <w:r>
              <w:t xml:space="preserve">Le vrai concurrent (90 % des flux)</w:t>
            </w:r>
          </w:p>
        </w:tc>
        <w:tc>
          <w:tcPr/>
          <w:p>
            <w:pPr>
              <w:pStyle w:val="Compact"/>
            </w:pPr>
            <w:r>
              <w:t xml:space="preserve">Rendre ce stack obsolète sans rupture de comportement</w:t>
            </w:r>
          </w:p>
        </w:tc>
      </w:tr>
      <w:tr>
        <w:tc>
          <w:tcPr/>
          <w:p>
            <w:pPr>
              <w:pStyle w:val="Compact"/>
            </w:pPr>
            <w:r>
              <w:rPr>
                <w:b/>
                <w:bCs/>
              </w:rPr>
              <w:t xml:space="preserve">Sites e-commerce locaux</w:t>
            </w:r>
            <w:r>
              <w:t xml:space="preserve"> </w:t>
            </w:r>
            <w:r>
              <w:t xml:space="preserve">(global-auto, MobriStore, MAPA-CI, EasyPieces, OK Pièces, Lakasse, s-automeca…)</w:t>
            </w:r>
          </w:p>
        </w:tc>
        <w:tc>
          <w:tcPr/>
          <w:p>
            <w:pPr>
              <w:pStyle w:val="Compact"/>
            </w:pPr>
            <w:r>
              <w:t xml:space="preserve">Catalogues web fragmentés et étroits</w:t>
            </w:r>
          </w:p>
        </w:tc>
        <w:tc>
          <w:tcPr/>
          <w:p>
            <w:pPr>
              <w:pStyle w:val="Compact"/>
            </w:pPr>
            <w:r>
              <w:t xml:space="preserve">Catalogues miroités ; nous agrégeons et normalisons tout le marché, eux ne voient pas nos prix</w:t>
            </w:r>
          </w:p>
        </w:tc>
      </w:tr>
      <w:tr>
        <w:tc>
          <w:tcPr/>
          <w:p>
            <w:pPr>
              <w:pStyle w:val="Compact"/>
            </w:pPr>
            <w:r>
              <w:rPr>
                <w:b/>
                <w:bCs/>
              </w:rPr>
              <w:t xml:space="preserve">Jumia / Glovo / Yango Tech</w:t>
            </w:r>
          </w:p>
        </w:tc>
        <w:tc>
          <w:tcPr/>
          <w:p>
            <w:pPr>
              <w:pStyle w:val="Compact"/>
            </w:pPr>
            <w:r>
              <w:t xml:space="preserve">Capital, pourraient acquérir à 24-36 mois</w:t>
            </w:r>
          </w:p>
        </w:tc>
        <w:tc>
          <w:tcPr/>
          <w:p>
            <w:pPr>
              <w:pStyle w:val="Compact"/>
            </w:pPr>
            <w:r>
              <w:t xml:space="preserve">Avance terrain + compatibilité des données à industrialiser vite</w:t>
            </w:r>
          </w:p>
        </w:tc>
      </w:tr>
      <w:tr>
        <w:tc>
          <w:tcPr/>
          <w:p>
            <w:pPr>
              <w:pStyle w:val="Compact"/>
            </w:pPr>
            <w:r>
              <w:rPr>
                <w:b/>
                <w:bCs/>
              </w:rPr>
              <w:t xml:space="preserve">FleetOps (gestion partenaires Yango)</w:t>
            </w:r>
          </w:p>
        </w:tc>
        <w:tc>
          <w:tcPr/>
          <w:p>
            <w:pPr>
              <w:pStyle w:val="Compact"/>
            </w:pPr>
            <w:r>
              <w:t xml:space="preserve">Gère chauffeurs/loueurs (39 000+ suivis), pas le coût pièces</w:t>
            </w:r>
          </w:p>
        </w:tc>
        <w:tc>
          <w:tcPr/>
          <w:p>
            <w:pPr>
              <w:pStyle w:val="Compact"/>
            </w:pPr>
            <w:r>
              <w:t xml:space="preserve">Partenaire d’intégration potentiel, pas concurrent sur la pièce</w:t>
            </w:r>
          </w:p>
        </w:tc>
      </w:tr>
      <w:tr>
        <w:tc>
          <w:tcPr/>
          <w:p>
            <w:pPr>
              <w:pStyle w:val="Compact"/>
            </w:pPr>
            <w:r>
              <w:rPr>
                <w:b/>
                <w:bCs/>
              </w:rPr>
              <w:t xml:space="preserve">Outils fleet européens (Fleetio, Geotab)</w:t>
            </w:r>
          </w:p>
        </w:tc>
        <w:tc>
          <w:tcPr/>
          <w:p>
            <w:pPr>
              <w:pStyle w:val="Compact"/>
            </w:pPr>
            <w:r>
              <w:t xml:space="preserve">Génériques, non localisés</w:t>
            </w:r>
          </w:p>
        </w:tc>
        <w:tc>
          <w:tcPr/>
          <w:p>
            <w:pPr>
              <w:pStyle w:val="Compact"/>
            </w:pPr>
            <w:r>
              <w:t xml:space="preserve">FCFA, fournisseurs CI, FNE-CI natif</w:t>
            </w:r>
          </w:p>
        </w:tc>
      </w:tr>
    </w:tbl>
    <w:p>
      <w:pPr>
        <w:pStyle w:val="BodyText"/>
      </w:pPr>
      <w:r>
        <w:t xml:space="preserve">Notre cartographie terrain et technique de juin 2026 recense</w:t>
      </w:r>
      <w:r>
        <w:t xml:space="preserve"> </w:t>
      </w:r>
      <w:r>
        <w:rPr>
          <w:b/>
          <w:bCs/>
        </w:rPr>
        <w:t xml:space="preserve">plus d’une dizaine de sites locaux</w:t>
      </w:r>
      <w:r>
        <w:t xml:space="preserve"> </w:t>
      </w:r>
      <w:r>
        <w:t xml:space="preserve">(EasyPieces, OK Pièces Auto, MAPA-CI, General Auto Parts, MobriStore, Lakasse, s-automeca, global-auto…). Aucun ne combine largeur de catalogue, prix affichés et compatibilité véhicule : Lakasse expose 21 références, s-automeca affiche 11 750 produits mais</w:t>
      </w:r>
      <w:r>
        <w:t xml:space="preserve"> </w:t>
      </w:r>
      <w:r>
        <w:rPr>
          <w:b/>
          <w:bCs/>
        </w:rPr>
        <w:t xml:space="preserve">sans prix</w:t>
      </w:r>
      <w:r>
        <w:t xml:space="preserve"> </w:t>
      </w:r>
      <w:r>
        <w:t xml:space="preserve">(sur demande), et la plupart n’ont ni API ni catalogue structuré. Le marché reste entièrement à agréger.</w:t>
      </w:r>
    </w:p>
    <w:p>
      <w:pPr>
        <w:pStyle w:val="BodyText"/>
      </w:pPr>
      <w:r>
        <w:rPr>
          <w:b/>
          <w:bCs/>
        </w:rPr>
        <w:t xml:space="preserve">Notre douve, cumulée et défendable à 36 mois :</w:t>
      </w:r>
    </w:p>
    <w:p>
      <w:pPr>
        <w:pStyle w:val="Compact"/>
        <w:numPr>
          <w:ilvl w:val="0"/>
          <w:numId w:val="1003"/>
        </w:numPr>
      </w:pPr>
      <w:r>
        <w:rPr>
          <w:b/>
          <w:bCs/>
        </w:rPr>
        <w:t xml:space="preserve">Le réseau Liaison et la cartographie de la chaîne</w:t>
      </w:r>
      <w:r>
        <w:t xml:space="preserve"> </w:t>
      </w:r>
      <w:r>
        <w:t xml:space="preserve">: des agents terrain qui recensent et digitalisent tous les acteurs (importateurs en gros jusqu’aux détaillants, formels comme informels) et leurs produits, même hors ligne. Objectif : 80 agents sous 12 mois.</w:t>
      </w:r>
    </w:p>
    <w:p>
      <w:pPr>
        <w:pStyle w:val="Compact"/>
        <w:numPr>
          <w:ilvl w:val="0"/>
          <w:numId w:val="1003"/>
        </w:numPr>
      </w:pPr>
      <w:r>
        <w:rPr>
          <w:b/>
          <w:bCs/>
        </w:rPr>
        <w:t xml:space="preserve">La compatibilité des données Côte d’Ivoire</w:t>
      </w:r>
      <w:r>
        <w:t xml:space="preserve"> </w:t>
      </w:r>
      <w:r>
        <w:t xml:space="preserve">: quelle pièce va sur quel véhicule local. Inattaquable à 100 000 transactions.</w:t>
      </w:r>
    </w:p>
    <w:p>
      <w:pPr>
        <w:pStyle w:val="Compact"/>
        <w:numPr>
          <w:ilvl w:val="0"/>
          <w:numId w:val="1003"/>
        </w:numPr>
      </w:pPr>
      <w:r>
        <w:rPr>
          <w:b/>
          <w:bCs/>
        </w:rPr>
        <w:t xml:space="preserve">Le paiement à la livraison et la garantie Pièces</w:t>
      </w:r>
      <w:r>
        <w:t xml:space="preserve"> </w:t>
      </w:r>
      <w:r>
        <w:t xml:space="preserve">: de la confiance institutionnelle dans un marché de méfiance.</w:t>
      </w:r>
    </w:p>
    <w:p>
      <w:pPr>
        <w:pStyle w:val="Compact"/>
        <w:numPr>
          <w:ilvl w:val="0"/>
          <w:numId w:val="1003"/>
        </w:numPr>
      </w:pPr>
      <w:r>
        <w:rPr>
          <w:b/>
          <w:bCs/>
        </w:rPr>
        <w:t xml:space="preserve">La conformité FNE-CI native</w:t>
      </w:r>
      <w:r>
        <w:t xml:space="preserve"> </w:t>
      </w:r>
      <w:r>
        <w:t xml:space="preserve">: premier à émettre la facture normalisée DGI sur la pièce.</w:t>
      </w:r>
    </w:p>
    <w:bookmarkEnd w:id="27"/>
    <w:bookmarkStart w:id="28" w:name="modèle-économique"/>
    <w:p>
      <w:pPr>
        <w:pStyle w:val="Heading2"/>
      </w:pPr>
      <w:r>
        <w:t xml:space="preserve">6. Modèle économique</w:t>
      </w:r>
    </w:p>
    <w:p>
      <w:pPr>
        <w:pStyle w:val="FirstParagraph"/>
      </w:pPr>
      <w:r>
        <w:t xml:space="preserve">Quatre flux de revenus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rPr>
                <w:b/>
                <w:bCs/>
              </w:rPr>
              <w:t xml:space="preserve">Commission marketplace</w:t>
            </w:r>
          </w:p>
        </w:tc>
        <w:tc>
          <w:tcPr/>
          <w:p>
            <w:pPr>
              <w:pStyle w:val="Compact"/>
            </w:pPr>
            <w:r>
              <w:t xml:space="preserve">7-15 %, prélevée au moment du paiement par l’acheteur</w:t>
            </w:r>
          </w:p>
        </w:tc>
        <w:tc>
          <w:tcPr/>
          <w:p>
            <w:pPr>
              <w:pStyle w:val="Compact"/>
            </w:pPr>
            <w:r>
              <w:t xml:space="preserve">45 % du revenu</w:t>
            </w:r>
          </w:p>
        </w:tc>
      </w:tr>
      <w:tr>
        <w:tc>
          <w:tcPr/>
          <w:p>
            <w:pPr>
              <w:pStyle w:val="Compact"/>
            </w:pPr>
            <w:r>
              <w:rPr>
                <w:b/>
                <w:bCs/>
              </w:rPr>
              <w:t xml:space="preserve">Abonnement Flotte Pro</w:t>
            </w:r>
          </w:p>
        </w:tc>
        <w:tc>
          <w:tcPr/>
          <w:p>
            <w:pPr>
              <w:pStyle w:val="Compact"/>
            </w:pPr>
            <w:r>
              <w:t xml:space="preserve">5 000 F / véh / mois</w:t>
            </w:r>
          </w:p>
        </w:tc>
        <w:tc>
          <w:tcPr/>
          <w:p>
            <w:pPr>
              <w:pStyle w:val="Compact"/>
            </w:pPr>
            <w:r>
              <w:t xml:space="preserve">35 % du revenu</w:t>
            </w:r>
          </w:p>
        </w:tc>
      </w:tr>
      <w:tr>
        <w:tc>
          <w:tcPr/>
          <w:p>
            <w:pPr>
              <w:pStyle w:val="Compact"/>
            </w:pPr>
            <w:r>
              <w:rPr>
                <w:b/>
                <w:bCs/>
              </w:rPr>
              <w:t xml:space="preserve">Abonnement Flotte Pro +</w:t>
            </w:r>
          </w:p>
        </w:tc>
        <w:tc>
          <w:tcPr/>
          <w:p>
            <w:pPr>
              <w:pStyle w:val="Compact"/>
            </w:pPr>
            <w:r>
              <w:t xml:space="preserve">10 000 F / véh / mois (livraison express prioritaire)</w:t>
            </w:r>
          </w:p>
        </w:tc>
        <w:tc>
          <w:tcPr/>
          <w:p>
            <w:pPr>
              <w:pStyle w:val="Compact"/>
            </w:pPr>
            <w:r>
              <w:t xml:space="preserve">15 % du revenu</w:t>
            </w:r>
          </w:p>
        </w:tc>
      </w:tr>
      <w:tr>
        <w:tc>
          <w:tcPr/>
          <w:p>
            <w:pPr>
              <w:pStyle w:val="Compact"/>
            </w:pPr>
            <w:r>
              <w:rPr>
                <w:b/>
                <w:bCs/>
              </w:rPr>
              <w:t xml:space="preserve">Conformité / facturation</w:t>
            </w:r>
          </w:p>
        </w:tc>
        <w:tc>
          <w:tcPr/>
          <w:p>
            <w:pPr>
              <w:pStyle w:val="Compact"/>
            </w:pPr>
            <w:r>
              <w:t xml:space="preserve">Forfait FNE-CI, prestations</w:t>
            </w:r>
          </w:p>
        </w:tc>
        <w:tc>
          <w:tcPr/>
          <w:p>
            <w:pPr>
              <w:pStyle w:val="Compact"/>
            </w:pPr>
            <w:r>
              <w:t xml:space="preserve">5 % du revenu</w:t>
            </w:r>
          </w:p>
        </w:tc>
      </w:tr>
    </w:tbl>
    <w:p>
      <w:pPr>
        <w:pStyle w:val="BodyText"/>
      </w:pPr>
      <w:r>
        <w:rPr>
          <w:b/>
          <w:bCs/>
        </w:rPr>
        <w:t xml:space="preserve">Unit economics cibles :</w:t>
      </w:r>
    </w:p>
    <w:p>
      <w:pPr>
        <w:pStyle w:val="Compact"/>
        <w:numPr>
          <w:ilvl w:val="0"/>
          <w:numId w:val="1004"/>
        </w:numPr>
      </w:pPr>
      <w:r>
        <w:t xml:space="preserve">Panier moyen marketplace</w:t>
      </w:r>
      <w:r>
        <w:t xml:space="preserve"> </w:t>
      </w:r>
      <w:r>
        <w:rPr>
          <w:b/>
          <w:bCs/>
        </w:rPr>
        <w:t xml:space="preserve">32 000 F</w:t>
      </w:r>
      <w:r>
        <w:t xml:space="preserve">, take rate</w:t>
      </w:r>
      <w:r>
        <w:t xml:space="preserve"> </w:t>
      </w:r>
      <w:r>
        <w:rPr>
          <w:b/>
          <w:bCs/>
        </w:rPr>
        <w:t xml:space="preserve">10 %</w:t>
      </w:r>
      <w:r>
        <w:t xml:space="preserve"> </w:t>
      </w:r>
      <w:r>
        <w:t xml:space="preserve">→</w:t>
      </w:r>
      <w:r>
        <w:t xml:space="preserve"> </w:t>
      </w:r>
      <w:r>
        <w:rPr>
          <w:b/>
          <w:bCs/>
        </w:rPr>
        <w:t xml:space="preserve">3 200 F</w:t>
      </w:r>
      <w:r>
        <w:t xml:space="preserve"> </w:t>
      </w:r>
      <w:r>
        <w:t xml:space="preserve">de revenu net par commande.</w:t>
      </w:r>
    </w:p>
    <w:p>
      <w:pPr>
        <w:pStyle w:val="Compact"/>
        <w:numPr>
          <w:ilvl w:val="0"/>
          <w:numId w:val="1004"/>
        </w:numPr>
      </w:pPr>
      <w:r>
        <w:t xml:space="preserve">CAC mécanicien</w:t>
      </w:r>
      <w:r>
        <w:t xml:space="preserve"> </w:t>
      </w:r>
      <w:r>
        <w:rPr>
          <w:b/>
          <w:bCs/>
        </w:rPr>
        <w:t xml:space="preserve">&lt; 1 500 F</w:t>
      </w:r>
      <w:r>
        <w:t xml:space="preserve"> </w:t>
      </w:r>
      <w:r>
        <w:t xml:space="preserve">(organique + Liaison) ; CAC flotte indépendante</w:t>
      </w:r>
      <w:r>
        <w:t xml:space="preserve"> </w:t>
      </w:r>
      <w:r>
        <w:rPr>
          <w:b/>
          <w:bCs/>
        </w:rPr>
        <w:t xml:space="preserve">25 000-60 000 F</w:t>
      </w:r>
      <w:r>
        <w:t xml:space="preserve">.</w:t>
      </w:r>
    </w:p>
    <w:p>
      <w:pPr>
        <w:pStyle w:val="Compact"/>
        <w:numPr>
          <w:ilvl w:val="0"/>
          <w:numId w:val="1004"/>
        </w:numPr>
      </w:pPr>
      <w:r>
        <w:t xml:space="preserve">LTV Flotte Pro (24 mois, churn 4 %/mois)</w:t>
      </w:r>
      <w:r>
        <w:t xml:space="preserve"> </w:t>
      </w:r>
      <w:r>
        <w:rPr>
          <w:b/>
          <w:bCs/>
        </w:rPr>
        <w:t xml:space="preserve">~85 000 F/véhicule</w:t>
      </w:r>
      <w:r>
        <w:t xml:space="preserve">.</w:t>
      </w:r>
    </w:p>
    <w:p>
      <w:pPr>
        <w:pStyle w:val="Compact"/>
        <w:numPr>
          <w:ilvl w:val="0"/>
          <w:numId w:val="1004"/>
        </w:numPr>
      </w:pPr>
      <w:r>
        <w:rPr>
          <w:b/>
          <w:bCs/>
        </w:rPr>
        <w:t xml:space="preserve">Ratio LTV/CAC &gt; 4</w:t>
      </w:r>
      <w:r>
        <w:t xml:space="preserve"> </w:t>
      </w:r>
      <w:r>
        <w:t xml:space="preserve">sur tous les segments dès M12.</w:t>
      </w:r>
    </w:p>
    <w:bookmarkEnd w:id="28"/>
    <w:bookmarkStart w:id="29" w:name="go-to-market"/>
    <w:p>
      <w:pPr>
        <w:pStyle w:val="Heading2"/>
      </w:pPr>
      <w:r>
        <w:t xml:space="preserve">7. Go-to-market</w:t>
      </w:r>
    </w:p>
    <w:p>
      <w:pPr>
        <w:pStyle w:val="FirstParagraph"/>
      </w:pPr>
      <w:r>
        <w:t xml:space="preserve">Stratégie en 5 mouvements sur 24 mois :</w:t>
      </w:r>
    </w:p>
    <w:p>
      <w:pPr>
        <w:pStyle w:val="Compact"/>
        <w:numPr>
          <w:ilvl w:val="0"/>
          <w:numId w:val="1005"/>
        </w:numPr>
      </w:pPr>
      <w:r>
        <w:rPr>
          <w:b/>
          <w:bCs/>
        </w:rPr>
        <w:t xml:space="preserve">M0-6, verrouiller les principaux vendeurs</w:t>
      </w:r>
      <w:r>
        <w:t xml:space="preserve"> </w:t>
      </w:r>
      <w:r>
        <w:t xml:space="preserve">: 85 à 90 % des pièces du marché enregistrées, 20 Liaisons, 300 vendeurs onboardés, 350 commandes/jour à M6.</w:t>
      </w:r>
    </w:p>
    <w:p>
      <w:pPr>
        <w:pStyle w:val="Compact"/>
        <w:numPr>
          <w:ilvl w:val="0"/>
          <w:numId w:val="1005"/>
        </w:numPr>
      </w:pPr>
      <w:r>
        <w:rPr>
          <w:b/>
          <w:bCs/>
        </w:rPr>
        <w:t xml:space="preserve">M3-12, prendre le VTC</w:t>
      </w:r>
      <w:r>
        <w:t xml:space="preserve"> </w:t>
      </w:r>
      <w:r>
        <w:t xml:space="preserve">: partenariat Yango (déploiement initial sur 200 conducteurs, puis déploiement de masse), Heetch en parallèle, démarchage des flottes indépendantes (5 à 200 véhicules), 3 cas clients chiffrés (-20 % budget pièces).</w:t>
      </w:r>
    </w:p>
    <w:p>
      <w:pPr>
        <w:pStyle w:val="Compact"/>
        <w:numPr>
          <w:ilvl w:val="0"/>
          <w:numId w:val="1005"/>
        </w:numPr>
      </w:pPr>
      <w:r>
        <w:rPr>
          <w:b/>
          <w:bCs/>
        </w:rPr>
        <w:t xml:space="preserve">M6-15, devenir le standard FNE-CI</w:t>
      </w:r>
      <w:r>
        <w:t xml:space="preserve"> </w:t>
      </w:r>
      <w:r>
        <w:t xml:space="preserve">: intégration DGI, vente directe aux DAF (« nous vous aidons à récupérer la TVA que vous perdez aujourd’hui »).</w:t>
      </w:r>
    </w:p>
    <w:p>
      <w:pPr>
        <w:pStyle w:val="Compact"/>
        <w:numPr>
          <w:ilvl w:val="0"/>
          <w:numId w:val="1005"/>
        </w:numPr>
      </w:pPr>
      <w:r>
        <w:rPr>
          <w:b/>
          <w:bCs/>
        </w:rPr>
        <w:t xml:space="preserve">M12-18, étendre BTP / transport collectif / corporate</w:t>
      </w:r>
      <w:r>
        <w:t xml:space="preserve"> </w:t>
      </w:r>
      <w:r>
        <w:t xml:space="preserve">: +2 500 véhicules au-delà du VTC.</w:t>
      </w:r>
    </w:p>
    <w:p>
      <w:pPr>
        <w:pStyle w:val="Compact"/>
        <w:numPr>
          <w:ilvl w:val="0"/>
          <w:numId w:val="1005"/>
        </w:numPr>
      </w:pPr>
      <w:r>
        <w:rPr>
          <w:b/>
          <w:bCs/>
        </w:rPr>
        <w:t xml:space="preserve">M18-24, sortir d’Abidjan</w:t>
      </w:r>
      <w:r>
        <w:t xml:space="preserve"> </w:t>
      </w:r>
      <w:r>
        <w:t xml:space="preserve">: Bouaké, San Pedro, puis un pilote sous-régional (Dakar/Cotonou).</w:t>
      </w:r>
    </w:p>
    <w:p>
      <w:pPr>
        <w:pStyle w:val="FirstParagraph"/>
      </w:pPr>
      <w:r>
        <w:t xml:space="preserve">Canaux d’acquisition : commerciaux, Liaison terrain, réseaux sociaux, télé (demande), vente directe B2B (account executives), partenariats plateformes VTC, prescription experts-comptables/DAF.</w:t>
      </w:r>
    </w:p>
    <w:bookmarkEnd w:id="29"/>
    <w:bookmarkStart w:id="30" w:name="projections-financières-3-ans"/>
    <w:p>
      <w:pPr>
        <w:pStyle w:val="Heading2"/>
      </w:pPr>
      <w:r>
        <w:t xml:space="preserve">8. Projections financières (3 ans)</w:t>
      </w:r>
    </w:p>
    <w:p>
      <w:pPr>
        <w:pStyle w:val="FirstParagraph"/>
      </w:pPr>
      <w:r>
        <w:t xml:space="preserve">Hypothèses : 1 EUR ≈ 656 FCFA. Lancement commercial H2 2026. Chiffres en projections, à valider sur données réelles.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Indicateur</w:t>
            </w:r>
          </w:p>
        </w:tc>
        <w:tc>
          <w:tcPr/>
          <w:p>
            <w:pPr>
              <w:pStyle w:val="Compact"/>
            </w:pPr>
            <w:r>
              <w:t xml:space="preserve">An 1</w:t>
            </w:r>
          </w:p>
        </w:tc>
        <w:tc>
          <w:tcPr/>
          <w:p>
            <w:pPr>
              <w:pStyle w:val="Compact"/>
            </w:pPr>
            <w:r>
              <w:t xml:space="preserve">An 2</w:t>
            </w:r>
          </w:p>
        </w:tc>
        <w:tc>
          <w:tcPr/>
          <w:p>
            <w:pPr>
              <w:pStyle w:val="Compact"/>
            </w:pPr>
            <w:r>
              <w:t xml:space="preserve">An 3</w:t>
            </w:r>
          </w:p>
        </w:tc>
      </w:tr>
      <w:tr>
        <w:tc>
          <w:tcPr/>
          <w:p>
            <w:pPr>
              <w:pStyle w:val="Compact"/>
            </w:pPr>
            <w:r>
              <w:t xml:space="preserve">Commandes marketplace / jour (fin de période)</w:t>
            </w:r>
          </w:p>
        </w:tc>
        <w:tc>
          <w:tcPr/>
          <w:p>
            <w:pPr>
              <w:pStyle w:val="Compact"/>
            </w:pPr>
            <w:r>
              <w:t xml:space="preserve">600</w:t>
            </w:r>
          </w:p>
        </w:tc>
        <w:tc>
          <w:tcPr/>
          <w:p>
            <w:pPr>
              <w:pStyle w:val="Compact"/>
            </w:pPr>
            <w:r>
              <w:t xml:space="preserve">1 500</w:t>
            </w:r>
          </w:p>
        </w:tc>
        <w:tc>
          <w:tcPr/>
          <w:p>
            <w:pPr>
              <w:pStyle w:val="Compact"/>
            </w:pPr>
            <w:r>
              <w:t xml:space="preserve">2 800</w:t>
            </w:r>
          </w:p>
        </w:tc>
      </w:tr>
      <w:tr>
        <w:tc>
          <w:tcPr/>
          <w:p>
            <w:pPr>
              <w:pStyle w:val="Compact"/>
            </w:pPr>
            <w:r>
              <w:t xml:space="preserve">GMV marketplace</w:t>
            </w:r>
          </w:p>
        </w:tc>
        <w:tc>
          <w:tcPr/>
          <w:p>
            <w:pPr>
              <w:pStyle w:val="Compact"/>
            </w:pPr>
            <w:r>
              <w:t xml:space="preserve">~2,9 Mds F</w:t>
            </w:r>
          </w:p>
        </w:tc>
        <w:tc>
          <w:tcPr/>
          <w:p>
            <w:pPr>
              <w:pStyle w:val="Compact"/>
            </w:pPr>
            <w:r>
              <w:t xml:space="preserve">~11,5 Mds F</w:t>
            </w:r>
          </w:p>
        </w:tc>
        <w:tc>
          <w:tcPr/>
          <w:p>
            <w:pPr>
              <w:pStyle w:val="Compact"/>
            </w:pPr>
            <w:r>
              <w:t xml:space="preserve">~26 Mds F</w:t>
            </w:r>
          </w:p>
        </w:tc>
      </w:tr>
      <w:tr>
        <w:tc>
          <w:tcPr/>
          <w:p>
            <w:pPr>
              <w:pStyle w:val="Compact"/>
            </w:pPr>
            <w:r>
              <w:t xml:space="preserve">Véhicules sous abonnement (fin de période)</w:t>
            </w:r>
          </w:p>
        </w:tc>
        <w:tc>
          <w:tcPr/>
          <w:p>
            <w:pPr>
              <w:pStyle w:val="Compact"/>
            </w:pPr>
            <w:r>
              <w:t xml:space="preserve">1 500</w:t>
            </w:r>
          </w:p>
        </w:tc>
        <w:tc>
          <w:tcPr/>
          <w:p>
            <w:pPr>
              <w:pStyle w:val="Compact"/>
            </w:pPr>
            <w:r>
              <w:t xml:space="preserve">4 000</w:t>
            </w:r>
          </w:p>
        </w:tc>
        <w:tc>
          <w:tcPr/>
          <w:p>
            <w:pPr>
              <w:pStyle w:val="Compact"/>
            </w:pPr>
            <w:r>
              <w:t xml:space="preserve">8 000</w:t>
            </w:r>
          </w:p>
        </w:tc>
      </w:tr>
      <w:tr>
        <w:tc>
          <w:tcPr/>
          <w:p>
            <w:pPr>
              <w:pStyle w:val="Compact"/>
            </w:pPr>
            <w:r>
              <w:rPr>
                <w:b/>
                <w:bCs/>
              </w:rPr>
              <w:t xml:space="preserve">Revenu net Pièces</w:t>
            </w:r>
          </w:p>
        </w:tc>
        <w:tc>
          <w:tcPr/>
          <w:p>
            <w:pPr>
              <w:pStyle w:val="Compact"/>
            </w:pPr>
            <w:r>
              <w:rPr>
                <w:b/>
                <w:bCs/>
              </w:rPr>
              <w:t xml:space="preserve">~0,28 Md F</w:t>
            </w:r>
          </w:p>
        </w:tc>
        <w:tc>
          <w:tcPr/>
          <w:p>
            <w:pPr>
              <w:pStyle w:val="Compact"/>
            </w:pPr>
            <w:r>
              <w:rPr>
                <w:b/>
                <w:bCs/>
              </w:rPr>
              <w:t xml:space="preserve">~1,15 Md F</w:t>
            </w:r>
          </w:p>
        </w:tc>
        <w:tc>
          <w:tcPr/>
          <w:p>
            <w:pPr>
              <w:pStyle w:val="Compact"/>
            </w:pPr>
            <w:r>
              <w:rPr>
                <w:b/>
                <w:bCs/>
              </w:rPr>
              <w:t xml:space="preserve">~3,2 Mds F</w:t>
            </w:r>
          </w:p>
        </w:tc>
      </w:tr>
      <w:tr>
        <w:tc>
          <w:tcPr/>
          <w:p>
            <w:pPr>
              <w:pStyle w:val="Compact"/>
            </w:pPr>
            <w:r>
              <w:t xml:space="preserve">Marge brute</w:t>
            </w:r>
          </w:p>
        </w:tc>
        <w:tc>
          <w:tcPr/>
          <w:p>
            <w:pPr>
              <w:pStyle w:val="Compact"/>
            </w:pPr>
            <w:r>
              <w:t xml:space="preserve">~25 %</w:t>
            </w:r>
          </w:p>
        </w:tc>
        <w:tc>
          <w:tcPr/>
          <w:p>
            <w:pPr>
              <w:pStyle w:val="Compact"/>
            </w:pPr>
            <w:r>
              <w:t xml:space="preserve">~35 %</w:t>
            </w:r>
          </w:p>
        </w:tc>
        <w:tc>
          <w:tcPr/>
          <w:p>
            <w:pPr>
              <w:pStyle w:val="Compact"/>
            </w:pPr>
            <w:r>
              <w:t xml:space="preserve">~45 %</w:t>
            </w:r>
          </w:p>
        </w:tc>
      </w:tr>
      <w:tr>
        <w:tc>
          <w:tcPr/>
          <w:p>
            <w:pPr>
              <w:pStyle w:val="Compact"/>
            </w:pPr>
            <w:r>
              <w:t xml:space="preserve">EBITDA</w:t>
            </w:r>
          </w:p>
        </w:tc>
        <w:tc>
          <w:tcPr/>
          <w:p>
            <w:pPr>
              <w:pStyle w:val="Compact"/>
            </w:pPr>
            <w:r>
              <w:t xml:space="preserve">négatif</w:t>
            </w:r>
          </w:p>
        </w:tc>
        <w:tc>
          <w:tcPr/>
          <w:p>
            <w:pPr>
              <w:pStyle w:val="Compact"/>
            </w:pPr>
            <w:r>
              <w:t xml:space="preserve">≈ break-even</w:t>
            </w:r>
          </w:p>
        </w:tc>
        <w:tc>
          <w:tcPr/>
          <w:p>
            <w:pPr>
              <w:pStyle w:val="Compact"/>
            </w:pPr>
            <w:r>
              <w:t xml:space="preserve">positif</w:t>
            </w:r>
          </w:p>
        </w:tc>
      </w:tr>
    </w:tbl>
    <w:p>
      <w:pPr>
        <w:pStyle w:val="BodyText"/>
      </w:pPr>
      <w:r>
        <w:t xml:space="preserve">L’an 3 atteint l’objectif stratégique :</w:t>
      </w:r>
      <w:r>
        <w:t xml:space="preserve"> </w:t>
      </w:r>
      <w:r>
        <w:rPr>
          <w:b/>
          <w:bCs/>
        </w:rPr>
        <w:t xml:space="preserve">5 000+ véhicules</w:t>
      </w:r>
      <w:r>
        <w:t xml:space="preserve"> </w:t>
      </w:r>
      <w:r>
        <w:t xml:space="preserve">sous abonnement et</w:t>
      </w:r>
      <w:r>
        <w:t xml:space="preserve"> </w:t>
      </w:r>
      <w:r>
        <w:rPr>
          <w:b/>
          <w:bCs/>
        </w:rPr>
        <w:t xml:space="preserve">~25 000 transactions marketplace/mois</w:t>
      </w:r>
      <w:r>
        <w:t xml:space="preserve">, position de standard de fait sur la facturation normalisée.</w:t>
      </w:r>
    </w:p>
    <w:bookmarkEnd w:id="30"/>
    <w:bookmarkStart w:id="36" w:name="la-levée-combien-pourquoi-pour-quoi"/>
    <w:p>
      <w:pPr>
        <w:pStyle w:val="Heading2"/>
      </w:pPr>
      <w:r>
        <w:t xml:space="preserve">9. La levée : combien, pourquoi, pour quoi</w:t>
      </w:r>
    </w:p>
    <w:bookmarkStart w:id="31" w:name="le-besoin"/>
    <w:p>
      <w:pPr>
        <w:pStyle w:val="Heading3"/>
      </w:pPr>
      <w:r>
        <w:t xml:space="preserve">9.1 Le besoin</w:t>
      </w:r>
    </w:p>
    <w:p>
      <w:pPr>
        <w:pStyle w:val="FirstParagraph"/>
      </w:pPr>
      <w:r>
        <w:t xml:space="preserve">Pour « bien commencer » vers ces objectifs, il faut financer</w:t>
      </w:r>
      <w:r>
        <w:t xml:space="preserve"> </w:t>
      </w:r>
      <w:r>
        <w:rPr>
          <w:b/>
          <w:bCs/>
        </w:rPr>
        <w:t xml:space="preserve">18 à 20 mois</w:t>
      </w:r>
      <w:r>
        <w:t xml:space="preserve"> </w:t>
      </w:r>
      <w:r>
        <w:t xml:space="preserve">d’exécution jusqu’aux jalons d’un Seed. Construction du burn mensuel (FCFA)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Poste</w:t>
            </w:r>
          </w:p>
        </w:tc>
        <w:tc>
          <w:tcPr/>
          <w:p>
            <w:pPr>
              <w:pStyle w:val="Compact"/>
            </w:pPr>
            <w:r>
              <w:t xml:space="preserve">M0-6 (build + Adjamé)</w:t>
            </w:r>
          </w:p>
        </w:tc>
        <w:tc>
          <w:tcPr/>
          <w:p>
            <w:pPr>
              <w:pStyle w:val="Compact"/>
            </w:pPr>
            <w:r>
              <w:t xml:space="preserve">M7-12 (VTC + monétisation)</w:t>
            </w:r>
          </w:p>
        </w:tc>
        <w:tc>
          <w:tcPr/>
          <w:p>
            <w:pPr>
              <w:pStyle w:val="Compact"/>
            </w:pPr>
            <w:r>
              <w:t xml:space="preserve">M13-18 (scale)</w:t>
            </w:r>
          </w:p>
        </w:tc>
      </w:tr>
      <w:tr>
        <w:tc>
          <w:tcPr/>
          <w:p>
            <w:pPr>
              <w:pStyle w:val="Compact"/>
            </w:pPr>
            <w:r>
              <w:t xml:space="preserve">Masse salariale</w:t>
            </w:r>
          </w:p>
        </w:tc>
        <w:tc>
          <w:tcPr/>
          <w:p>
            <w:pPr>
              <w:pStyle w:val="Compact"/>
            </w:pPr>
            <w:r>
              <w:t xml:space="preserve">~12 M/mois</w:t>
            </w:r>
          </w:p>
        </w:tc>
        <w:tc>
          <w:tcPr/>
          <w:p>
            <w:pPr>
              <w:pStyle w:val="Compact"/>
            </w:pPr>
            <w:r>
              <w:t xml:space="preserve">~22 M/mois</w:t>
            </w:r>
          </w:p>
        </w:tc>
        <w:tc>
          <w:tcPr/>
          <w:p>
            <w:pPr>
              <w:pStyle w:val="Compact"/>
            </w:pPr>
            <w:r>
              <w:t xml:space="preserve">~30 M/mois</w:t>
            </w:r>
          </w:p>
        </w:tc>
      </w:tr>
      <w:tr>
        <w:tc>
          <w:tcPr/>
          <w:p>
            <w:pPr>
              <w:pStyle w:val="Compact"/>
            </w:pPr>
            <w:r>
              <w:t xml:space="preserve">Liaison &amp; ops terrain</w:t>
            </w:r>
          </w:p>
        </w:tc>
        <w:tc>
          <w:tcPr/>
          <w:p>
            <w:pPr>
              <w:pStyle w:val="Compact"/>
            </w:pPr>
            <w:r>
              <w:t xml:space="preserve">inclus</w:t>
            </w:r>
          </w:p>
        </w:tc>
        <w:tc>
          <w:tcPr/>
          <w:p>
            <w:pPr>
              <w:pStyle w:val="Compact"/>
            </w:pPr>
            <w:r>
              <w:t xml:space="preserve">inclus</w:t>
            </w:r>
          </w:p>
        </w:tc>
        <w:tc>
          <w:tcPr/>
          <w:p>
            <w:pPr>
              <w:pStyle w:val="Compact"/>
            </w:pPr>
            <w:r>
              <w:t xml:space="preserve">inclus</w:t>
            </w:r>
          </w:p>
        </w:tc>
      </w:tr>
      <w:tr>
        <w:tc>
          <w:tcPr/>
          <w:p>
            <w:pPr>
              <w:pStyle w:val="Compact"/>
            </w:pPr>
            <w:r>
              <w:t xml:space="preserve">Marketing &amp; acquisition</w:t>
            </w:r>
          </w:p>
        </w:tc>
        <w:tc>
          <w:tcPr/>
          <w:p>
            <w:pPr>
              <w:pStyle w:val="Compact"/>
            </w:pPr>
            <w:r>
              <w:t xml:space="preserve">~3 M/mois</w:t>
            </w:r>
          </w:p>
        </w:tc>
        <w:tc>
          <w:tcPr/>
          <w:p>
            <w:pPr>
              <w:pStyle w:val="Compact"/>
            </w:pPr>
            <w:r>
              <w:t xml:space="preserve">~6 M/mois</w:t>
            </w:r>
          </w:p>
        </w:tc>
        <w:tc>
          <w:tcPr/>
          <w:p>
            <w:pPr>
              <w:pStyle w:val="Compact"/>
            </w:pPr>
            <w:r>
              <w:t xml:space="preserve">~8 M/mois</w:t>
            </w:r>
          </w:p>
        </w:tc>
      </w:tr>
      <w:tr>
        <w:tc>
          <w:tcPr/>
          <w:p>
            <w:pPr>
              <w:pStyle w:val="Compact"/>
            </w:pPr>
            <w:r>
              <w:t xml:space="preserve">Logistique / livreurs / stock tampon</w:t>
            </w:r>
          </w:p>
        </w:tc>
        <w:tc>
          <w:tcPr/>
          <w:p>
            <w:pPr>
              <w:pStyle w:val="Compact"/>
            </w:pPr>
            <w:r>
              <w:t xml:space="preserve">~2 M/mois</w:t>
            </w:r>
          </w:p>
        </w:tc>
        <w:tc>
          <w:tcPr/>
          <w:p>
            <w:pPr>
              <w:pStyle w:val="Compact"/>
            </w:pPr>
            <w:r>
              <w:t xml:space="preserve">~5 M/mois</w:t>
            </w:r>
          </w:p>
        </w:tc>
        <w:tc>
          <w:tcPr/>
          <w:p>
            <w:pPr>
              <w:pStyle w:val="Compact"/>
            </w:pPr>
            <w:r>
              <w:t xml:space="preserve">~8 M/mois</w:t>
            </w:r>
          </w:p>
        </w:tc>
      </w:tr>
      <w:tr>
        <w:tc>
          <w:tcPr/>
          <w:p>
            <w:pPr>
              <w:pStyle w:val="Compact"/>
            </w:pPr>
            <w:r>
              <w:t xml:space="preserve">Cloud, outils, bureau, légal</w:t>
            </w:r>
          </w:p>
        </w:tc>
        <w:tc>
          <w:tcPr/>
          <w:p>
            <w:pPr>
              <w:pStyle w:val="Compact"/>
            </w:pPr>
            <w:r>
              <w:t xml:space="preserve">~5 M/mois</w:t>
            </w:r>
          </w:p>
        </w:tc>
        <w:tc>
          <w:tcPr/>
          <w:p>
            <w:pPr>
              <w:pStyle w:val="Compact"/>
            </w:pPr>
            <w:r>
              <w:t xml:space="preserve">~7 M/mois</w:t>
            </w:r>
          </w:p>
        </w:tc>
        <w:tc>
          <w:tcPr/>
          <w:p>
            <w:pPr>
              <w:pStyle w:val="Compact"/>
            </w:pPr>
            <w:r>
              <w:t xml:space="preserve">~8 M/mois</w:t>
            </w:r>
          </w:p>
        </w:tc>
      </w:tr>
      <w:tr>
        <w:tc>
          <w:tcPr/>
          <w:p>
            <w:pPr>
              <w:pStyle w:val="Compact"/>
            </w:pPr>
            <w:r>
              <w:rPr>
                <w:b/>
                <w:bCs/>
              </w:rPr>
              <w:t xml:space="preserve">Burn brut mensuel</w:t>
            </w:r>
          </w:p>
        </w:tc>
        <w:tc>
          <w:tcPr/>
          <w:p>
            <w:pPr>
              <w:pStyle w:val="Compact"/>
            </w:pPr>
            <w:r>
              <w:rPr>
                <w:b/>
                <w:bCs/>
              </w:rPr>
              <w:t xml:space="preserve">~22 M</w:t>
            </w:r>
          </w:p>
        </w:tc>
        <w:tc>
          <w:tcPr/>
          <w:p>
            <w:pPr>
              <w:pStyle w:val="Compact"/>
            </w:pPr>
            <w:r>
              <w:rPr>
                <w:b/>
                <w:bCs/>
              </w:rPr>
              <w:t xml:space="preserve">~40 M</w:t>
            </w:r>
          </w:p>
        </w:tc>
        <w:tc>
          <w:tcPr/>
          <w:p>
            <w:pPr>
              <w:pStyle w:val="Compact"/>
            </w:pPr>
            <w:r>
              <w:rPr>
                <w:b/>
                <w:bCs/>
              </w:rPr>
              <w:t xml:space="preserve">~54 M</w:t>
            </w:r>
          </w:p>
        </w:tc>
      </w:tr>
      <w:tr>
        <w:tc>
          <w:tcPr/>
          <w:p>
            <w:pPr>
              <w:pStyle w:val="Compact"/>
            </w:pPr>
            <w:r>
              <w:t xml:space="preserve">Revenu net (compensation)</w:t>
            </w:r>
          </w:p>
        </w:tc>
        <w:tc>
          <w:tcPr/>
          <w:p>
            <w:pPr>
              <w:pStyle w:val="Compact"/>
            </w:pPr>
            <w:r>
              <w:t xml:space="preserve">~0</w:t>
            </w:r>
          </w:p>
        </w:tc>
        <w:tc>
          <w:tcPr/>
          <w:p>
            <w:pPr>
              <w:pStyle w:val="Compact"/>
            </w:pPr>
            <w:r>
              <w:t xml:space="preserve">~25 M (croissant)</w:t>
            </w:r>
          </w:p>
        </w:tc>
        <w:tc>
          <w:tcPr/>
          <w:p>
            <w:pPr>
              <w:pStyle w:val="Compact"/>
            </w:pPr>
            <w:r>
              <w:t xml:space="preserve">~50 M (≈ break-even)</w:t>
            </w:r>
          </w:p>
        </w:tc>
      </w:tr>
      <w:tr>
        <w:tc>
          <w:tcPr/>
          <w:p>
            <w:pPr>
              <w:pStyle w:val="Compact"/>
            </w:pPr>
            <w:r>
              <w:rPr>
                <w:b/>
                <w:bCs/>
              </w:rPr>
              <w:t xml:space="preserve">Burn net mensuel</w:t>
            </w:r>
          </w:p>
        </w:tc>
        <w:tc>
          <w:tcPr/>
          <w:p>
            <w:pPr>
              <w:pStyle w:val="Compact"/>
            </w:pPr>
            <w:r>
              <w:t xml:space="preserve">~22 M</w:t>
            </w:r>
          </w:p>
        </w:tc>
        <w:tc>
          <w:tcPr/>
          <w:p>
            <w:pPr>
              <w:pStyle w:val="Compact"/>
            </w:pPr>
            <w:r>
              <w:t xml:space="preserve">~15 M</w:t>
            </w:r>
          </w:p>
        </w:tc>
        <w:tc>
          <w:tcPr/>
          <w:p>
            <w:pPr>
              <w:pStyle w:val="Compact"/>
            </w:pPr>
            <w:r>
              <w:t xml:space="preserve">~0-5 M</w:t>
            </w:r>
          </w:p>
        </w:tc>
      </w:tr>
    </w:tbl>
    <w:p>
      <w:pPr>
        <w:pStyle w:val="BodyText"/>
      </w:pPr>
      <w:r>
        <w:t xml:space="preserve">Burn net opérationnel cumulé M0-18 ≈</w:t>
      </w:r>
      <w:r>
        <w:t xml:space="preserve"> </w:t>
      </w:r>
      <w:r>
        <w:rPr>
          <w:b/>
          <w:bCs/>
        </w:rPr>
        <w:t xml:space="preserve">300-350 M FCFA</w:t>
      </w:r>
      <w:r>
        <w:t xml:space="preserve">, auquel s’ajoutent le</w:t>
      </w:r>
      <w:r>
        <w:t xml:space="preserve"> </w:t>
      </w:r>
      <w:r>
        <w:rPr>
          <w:b/>
          <w:bCs/>
        </w:rPr>
        <w:t xml:space="preserve">fonds de roulement</w:t>
      </w:r>
      <w:r>
        <w:t xml:space="preserve"> </w:t>
      </w:r>
      <w:r>
        <w:t xml:space="preserve">(stock tampon prioritaire, ~100-150 M F), un</w:t>
      </w:r>
      <w:r>
        <w:t xml:space="preserve"> </w:t>
      </w:r>
      <w:r>
        <w:rPr>
          <w:b/>
          <w:bCs/>
        </w:rPr>
        <w:t xml:space="preserve">coussin de sécurité / contingence</w:t>
      </w:r>
      <w:r>
        <w:t xml:space="preserve"> </w:t>
      </w:r>
      <w:r>
        <w:t xml:space="preserve">(~150-200 M F) et une réserve de préparation du tour Seed.</w:t>
      </w:r>
    </w:p>
    <w:bookmarkEnd w:id="31"/>
    <w:bookmarkStart w:id="32" w:name="recommandation"/>
    <w:p>
      <w:pPr>
        <w:pStyle w:val="Heading3"/>
      </w:pPr>
      <w:r>
        <w:t xml:space="preserve">9.2 Recommandation</w:t>
      </w:r>
    </w:p>
    <w:p>
      <w:pPr>
        <w:pStyle w:val="FirstParagraph"/>
      </w:pPr>
      <w:r>
        <w:t xml:space="preserve">Lever un</w:t>
      </w:r>
      <w:r>
        <w:t xml:space="preserve"> </w:t>
      </w:r>
      <w:r>
        <w:t xml:space="preserve">Pre-seed de ~1 M EUR (≈ 655 M FCFA)</w:t>
      </w:r>
      <w:r>
        <w:t xml:space="preserve"> </w:t>
      </w:r>
      <w:r>
        <w:t xml:space="preserve">pour ~18 à 20 mois de runway (fourchette</w:t>
      </w:r>
      <w:r>
        <w:t xml:space="preserve"> </w:t>
      </w:r>
      <w:r>
        <w:t xml:space="preserve">0,7-1,3 M EUR</w:t>
      </w:r>
      <w:r>
        <w:t xml:space="preserve"> </w:t>
      </w:r>
      <w:r>
        <w:t xml:space="preserve">selon l’ambition de calendrier).</w:t>
      </w:r>
    </w:p>
    <w:p>
      <w:pPr>
        <w:pStyle w:val="BodyText"/>
      </w:pPr>
      <w:r>
        <w:t xml:space="preserve">Le ticket visé se situe en haut de fourchette pre-seed (bas de fourchette seed) en Afrique de l’Ouest, justifié par l’intensité capitalistique du modèle (ops terrain + stock tampon). L’Afrique de l’Ouest a mené le financement early-stage au T1 2025.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Scénario</w:t>
            </w:r>
          </w:p>
        </w:tc>
        <w:tc>
          <w:tcPr/>
          <w:p>
            <w:pPr>
              <w:pStyle w:val="Compact"/>
            </w:pPr>
            <w:r>
              <w:t xml:space="preserve">Montant</w:t>
            </w:r>
          </w:p>
        </w:tc>
        <w:tc>
          <w:tcPr/>
          <w:p>
            <w:pPr>
              <w:pStyle w:val="Compact"/>
            </w:pPr>
            <w:r>
              <w:t xml:space="preserve">Runway</w:t>
            </w:r>
          </w:p>
        </w:tc>
        <w:tc>
          <w:tcPr/>
          <w:p>
            <w:pPr>
              <w:pStyle w:val="Compact"/>
            </w:pPr>
            <w:r>
              <w:t xml:space="preserve">Logique</w:t>
            </w:r>
          </w:p>
        </w:tc>
      </w:tr>
      <w:tr>
        <w:tc>
          <w:tcPr/>
          <w:p>
            <w:pPr>
              <w:pStyle w:val="Compact"/>
            </w:pPr>
            <w:r>
              <w:rPr>
                <w:b/>
                <w:bCs/>
              </w:rPr>
              <w:t xml:space="preserve">Lean</w:t>
            </w:r>
          </w:p>
        </w:tc>
        <w:tc>
          <w:tcPr/>
          <w:p>
            <w:pPr>
              <w:pStyle w:val="Compact"/>
            </w:pPr>
            <w:r>
              <w:t xml:space="preserve">~0,7 M EUR (460 M F)</w:t>
            </w:r>
          </w:p>
        </w:tc>
        <w:tc>
          <w:tcPr/>
          <w:p>
            <w:pPr>
              <w:pStyle w:val="Compact"/>
            </w:pPr>
            <w:r>
              <w:t xml:space="preserve">~12-14 mois</w:t>
            </w:r>
          </w:p>
        </w:tc>
        <w:tc>
          <w:tcPr/>
          <w:p>
            <w:pPr>
              <w:pStyle w:val="Compact"/>
            </w:pPr>
            <w:r>
              <w:t xml:space="preserve">Strict minimum, peu de marge d’erreur</w:t>
            </w:r>
          </w:p>
        </w:tc>
      </w:tr>
      <w:tr>
        <w:tc>
          <w:tcPr/>
          <w:p>
            <w:pPr>
              <w:pStyle w:val="Compact"/>
            </w:pPr>
            <w:r>
              <w:rPr>
                <w:b/>
                <w:bCs/>
              </w:rPr>
              <w:t xml:space="preserve">Recommandé</w:t>
            </w:r>
          </w:p>
        </w:tc>
        <w:tc>
          <w:tcPr/>
          <w:p>
            <w:pPr>
              <w:pStyle w:val="Compact"/>
            </w:pPr>
            <w:r>
              <w:rPr>
                <w:b/>
                <w:bCs/>
              </w:rPr>
              <w:t xml:space="preserve">~1,0 M EUR (655 M F)</w:t>
            </w:r>
          </w:p>
        </w:tc>
        <w:tc>
          <w:tcPr/>
          <w:p>
            <w:pPr>
              <w:pStyle w:val="Compact"/>
            </w:pPr>
            <w:r>
              <w:rPr>
                <w:b/>
                <w:bCs/>
              </w:rPr>
              <w:t xml:space="preserve">~18-20 mois</w:t>
            </w:r>
          </w:p>
        </w:tc>
        <w:tc>
          <w:tcPr/>
          <w:p>
            <w:pPr>
              <w:pStyle w:val="Compact"/>
            </w:pPr>
            <w:r>
              <w:t xml:space="preserve">Atteint les jalons du Seed avec coussin</w:t>
            </w:r>
          </w:p>
        </w:tc>
      </w:tr>
      <w:tr>
        <w:tc>
          <w:tcPr/>
          <w:p>
            <w:pPr>
              <w:pStyle w:val="Compact"/>
            </w:pPr>
            <w:r>
              <w:rPr>
                <w:b/>
                <w:bCs/>
              </w:rPr>
              <w:t xml:space="preserve">Ambitieux</w:t>
            </w:r>
          </w:p>
        </w:tc>
        <w:tc>
          <w:tcPr/>
          <w:p>
            <w:pPr>
              <w:pStyle w:val="Compact"/>
            </w:pPr>
            <w:r>
              <w:t xml:space="preserve">~1,3 M EUR (850 M F)</w:t>
            </w:r>
          </w:p>
        </w:tc>
        <w:tc>
          <w:tcPr/>
          <w:p>
            <w:pPr>
              <w:pStyle w:val="Compact"/>
            </w:pPr>
            <w:r>
              <w:t xml:space="preserve">~22-24 mois</w:t>
            </w:r>
          </w:p>
        </w:tc>
        <w:tc>
          <w:tcPr/>
          <w:p>
            <w:pPr>
              <w:pStyle w:val="Compact"/>
            </w:pPr>
            <w:r>
              <w:t xml:space="preserve">Compresse le calendrier, accélère le VTC et le BTP</w:t>
            </w:r>
          </w:p>
        </w:tc>
      </w:tr>
    </w:tbl>
    <w:bookmarkEnd w:id="32"/>
    <w:bookmarkStart w:id="33" w:name="Xaf091f3bb9ce67339c875a2bca8d407fd253c42"/>
    <w:p>
      <w:pPr>
        <w:pStyle w:val="Heading3"/>
      </w:pPr>
      <w:r>
        <w:t xml:space="preserve">9.3 Emploi des fonds (scénario recommandé, 655 M FCFA)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Part</w:t>
            </w:r>
          </w:p>
        </w:tc>
        <w:tc>
          <w:tcPr/>
          <w:p>
            <w:pPr>
              <w:pStyle w:val="Compact"/>
            </w:pPr>
            <w:r>
              <w:t xml:space="preserve">Montant</w:t>
            </w:r>
          </w:p>
        </w:tc>
      </w:tr>
      <w:tr>
        <w:tc>
          <w:tcPr/>
          <w:p>
            <w:pPr>
              <w:pStyle w:val="Compact"/>
            </w:pPr>
            <w:r>
              <w:rPr>
                <w:b/>
                <w:bCs/>
              </w:rPr>
              <w:t xml:space="preserve">Liaison &amp; opérations terrain</w:t>
            </w:r>
          </w:p>
        </w:tc>
        <w:tc>
          <w:tcPr/>
          <w:p>
            <w:pPr>
              <w:pStyle w:val="Compact"/>
            </w:pPr>
            <w:r>
              <w:t xml:space="preserve">30 %</w:t>
            </w:r>
          </w:p>
        </w:tc>
        <w:tc>
          <w:tcPr/>
          <w:p>
            <w:pPr>
              <w:pStyle w:val="Compact"/>
            </w:pPr>
            <w:r>
              <w:t xml:space="preserve">195 M F</w:t>
            </w:r>
          </w:p>
        </w:tc>
      </w:tr>
      <w:tr>
        <w:tc>
          <w:tcPr/>
          <w:p>
            <w:pPr>
              <w:pStyle w:val="Compact"/>
            </w:pPr>
            <w:r>
              <w:rPr>
                <w:b/>
                <w:bCs/>
              </w:rPr>
              <w:t xml:space="preserve">Commercial &amp; GTM (B2B + acquisition demande)</w:t>
            </w:r>
          </w:p>
        </w:tc>
        <w:tc>
          <w:tcPr/>
          <w:p>
            <w:pPr>
              <w:pStyle w:val="Compact"/>
            </w:pPr>
            <w:r>
              <w:t xml:space="preserve">25 %</w:t>
            </w:r>
          </w:p>
        </w:tc>
        <w:tc>
          <w:tcPr/>
          <w:p>
            <w:pPr>
              <w:pStyle w:val="Compact"/>
            </w:pPr>
            <w:r>
              <w:t xml:space="preserve">164 M F</w:t>
            </w:r>
          </w:p>
        </w:tc>
      </w:tr>
      <w:tr>
        <w:tc>
          <w:tcPr/>
          <w:p>
            <w:pPr>
              <w:pStyle w:val="Compact"/>
            </w:pPr>
            <w:r>
              <w:rPr>
                <w:b/>
                <w:bCs/>
              </w:rPr>
              <w:t xml:space="preserve">Produit &amp; tech</w:t>
            </w:r>
          </w:p>
        </w:tc>
        <w:tc>
          <w:tcPr/>
          <w:p>
            <w:pPr>
              <w:pStyle w:val="Compact"/>
            </w:pPr>
            <w:r>
              <w:t xml:space="preserve">25 %</w:t>
            </w:r>
          </w:p>
        </w:tc>
        <w:tc>
          <w:tcPr/>
          <w:p>
            <w:pPr>
              <w:pStyle w:val="Compact"/>
            </w:pPr>
            <w:r>
              <w:t xml:space="preserve">164 M F</w:t>
            </w:r>
          </w:p>
        </w:tc>
      </w:tr>
      <w:tr>
        <w:tc>
          <w:tcPr/>
          <w:p>
            <w:pPr>
              <w:pStyle w:val="Compact"/>
            </w:pPr>
            <w:r>
              <w:rPr>
                <w:b/>
                <w:bCs/>
              </w:rPr>
              <w:t xml:space="preserve">G&amp;A, finance, légal, conformité</w:t>
            </w:r>
          </w:p>
        </w:tc>
        <w:tc>
          <w:tcPr/>
          <w:p>
            <w:pPr>
              <w:pStyle w:val="Compact"/>
            </w:pPr>
            <w:r>
              <w:t xml:space="preserve">10 %</w:t>
            </w:r>
          </w:p>
        </w:tc>
        <w:tc>
          <w:tcPr/>
          <w:p>
            <w:pPr>
              <w:pStyle w:val="Compact"/>
            </w:pPr>
            <w:r>
              <w:t xml:space="preserve">66 M F</w:t>
            </w:r>
          </w:p>
        </w:tc>
      </w:tr>
      <w:tr>
        <w:tc>
          <w:tcPr/>
          <w:p>
            <w:pPr>
              <w:pStyle w:val="Compact"/>
            </w:pPr>
            <w:r>
              <w:rPr>
                <w:b/>
                <w:bCs/>
              </w:rPr>
              <w:t xml:space="preserve">Fonds de roulement &amp; contingence</w:t>
            </w:r>
          </w:p>
        </w:tc>
        <w:tc>
          <w:tcPr/>
          <w:p>
            <w:pPr>
              <w:pStyle w:val="Compact"/>
            </w:pPr>
            <w:r>
              <w:t xml:space="preserve">10 %</w:t>
            </w:r>
          </w:p>
        </w:tc>
        <w:tc>
          <w:tcPr/>
          <w:p>
            <w:pPr>
              <w:pStyle w:val="Compact"/>
            </w:pPr>
            <w:r>
              <w:t xml:space="preserve">66 M F</w:t>
            </w:r>
          </w:p>
        </w:tc>
      </w:tr>
    </w:tbl>
    <w:bookmarkEnd w:id="33"/>
    <w:bookmarkStart w:id="34" w:name="jalons-débloqués-conditions-du-seed"/>
    <w:p>
      <w:pPr>
        <w:pStyle w:val="Heading3"/>
      </w:pPr>
      <w:r>
        <w:t xml:space="preserve">9.4 Jalons débloqués (conditions du Seed)</w:t>
      </w:r>
    </w:p>
    <w:p>
      <w:pPr>
        <w:pStyle w:val="Compact"/>
        <w:numPr>
          <w:ilvl w:val="0"/>
          <w:numId w:val="1006"/>
        </w:numPr>
      </w:pPr>
      <w:r>
        <w:t xml:space="preserve">600+ commandes/jour à M9, 1 500 véhicules sous abonnement à M12.</w:t>
      </w:r>
    </w:p>
    <w:p>
      <w:pPr>
        <w:pStyle w:val="Compact"/>
        <w:numPr>
          <w:ilvl w:val="0"/>
          <w:numId w:val="1006"/>
        </w:numPr>
      </w:pPr>
      <w:r>
        <w:t xml:space="preserve">GMV mensuel &gt; 250 M F, marge brute &gt; 30 %, churn flotte &lt; 5 %/mois à M12.</w:t>
      </w:r>
    </w:p>
    <w:p>
      <w:pPr>
        <w:pStyle w:val="Compact"/>
        <w:numPr>
          <w:ilvl w:val="0"/>
          <w:numId w:val="1006"/>
        </w:numPr>
      </w:pPr>
      <w:r>
        <w:t xml:space="preserve">Partenariat Yango officialisé ; 3 cas clients VTC publiables ; FNE-CI en production.</w:t>
      </w:r>
    </w:p>
    <w:p>
      <w:pPr>
        <w:pStyle w:val="Compact"/>
        <w:numPr>
          <w:ilvl w:val="0"/>
          <w:numId w:val="1006"/>
        </w:numPr>
      </w:pPr>
      <w:r>
        <w:rPr>
          <w:b/>
          <w:bCs/>
        </w:rPr>
        <w:t xml:space="preserve">Seed 4-6 M EUR</w:t>
      </w:r>
      <w:r>
        <w:t xml:space="preserve"> </w:t>
      </w:r>
      <w:r>
        <w:t xml:space="preserve">visé à M15-18 pour l’expansion nationale et sous-régionale.</w:t>
      </w:r>
    </w:p>
    <w:bookmarkEnd w:id="34"/>
    <w:bookmarkStart w:id="35" w:name="investisseurs-cibles"/>
    <w:p>
      <w:pPr>
        <w:pStyle w:val="Heading3"/>
      </w:pPr>
      <w:r>
        <w:t xml:space="preserve">9.5 Investisseurs cibles</w:t>
      </w:r>
    </w:p>
    <w:p>
      <w:pPr>
        <w:pStyle w:val="FirstParagraph"/>
      </w:pPr>
      <w:r>
        <w:t xml:space="preserve">VC pan-africains (Partech, Janngo Capital, Ventures Platform, P1 Ventures, AAIC), family offices ivoiriens, et financements non-dilutifs (Proparco, IFC, GIZ, FCS) pour la formation Liaison (impact emploi jeunes + formalisation de l’informel).</w:t>
      </w:r>
    </w:p>
    <w:bookmarkEnd w:id="35"/>
    <w:bookmarkEnd w:id="36"/>
    <w:bookmarkStart w:id="37" w:name="équipe-organisation"/>
    <w:p>
      <w:pPr>
        <w:pStyle w:val="Heading2"/>
      </w:pPr>
      <w:r>
        <w:t xml:space="preserve">10. Équipe &amp; organisation</w:t>
      </w:r>
    </w:p>
    <w:p>
      <w:pPr>
        <w:pStyle w:val="FirstParagraph"/>
      </w:pPr>
      <w:r>
        <w:t xml:space="preserve">Recrutements prioritaires M0-M3 :</w:t>
      </w:r>
      <w:r>
        <w:t xml:space="preserve"> </w:t>
      </w:r>
      <w:r>
        <w:rPr>
          <w:b/>
          <w:bCs/>
        </w:rPr>
        <w:t xml:space="preserve">Head of Liaison</w:t>
      </w:r>
      <w:r>
        <w:t xml:space="preserve"> </w:t>
      </w:r>
      <w:r>
        <w:t xml:space="preserve">(l’arme stratégique),</w:t>
      </w:r>
      <w:r>
        <w:t xml:space="preserve"> </w:t>
      </w:r>
      <w:r>
        <w:rPr>
          <w:b/>
          <w:bCs/>
        </w:rPr>
        <w:t xml:space="preserve">Head of Sales B2B</w:t>
      </w:r>
      <w:r>
        <w:t xml:space="preserve">,</w:t>
      </w:r>
      <w:r>
        <w:t xml:space="preserve"> </w:t>
      </w:r>
      <w:r>
        <w:rPr>
          <w:b/>
          <w:bCs/>
        </w:rPr>
        <w:t xml:space="preserve">Chief of Staff CEO</w:t>
      </w:r>
      <w:r>
        <w:t xml:space="preserve">,</w:t>
      </w:r>
      <w:r>
        <w:t xml:space="preserve"> </w:t>
      </w:r>
      <w:r>
        <w:rPr>
          <w:b/>
          <w:bCs/>
        </w:rPr>
        <w:t xml:space="preserve">CTO confirmé</w:t>
      </w:r>
      <w:r>
        <w:t xml:space="preserve">. Cible ~25 personnes à M12, ~55 à M24 (tech, commercial flotte, Liaison/ops, support WhatsApp, finance/conformité).</w:t>
      </w:r>
    </w:p>
    <w:bookmarkEnd w:id="37"/>
    <w:bookmarkStart w:id="38" w:name="risques-majeurs-mitigations"/>
    <w:p>
      <w:pPr>
        <w:pStyle w:val="Heading2"/>
      </w:pPr>
      <w:r>
        <w:t xml:space="preserve">11. Risques majeurs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Risque</w:t>
            </w:r>
          </w:p>
        </w:tc>
        <w:tc>
          <w:tcPr/>
          <w:p>
            <w:pPr>
              <w:pStyle w:val="Compact"/>
            </w:pPr>
            <w:r>
              <w:t xml:space="preserve">Impact</w:t>
            </w:r>
          </w:p>
        </w:tc>
        <w:tc>
          <w:tcPr/>
          <w:p>
            <w:pPr>
              <w:pStyle w:val="Compact"/>
            </w:pPr>
            <w:r>
              <w:t xml:space="preserve">Mitigation</w:t>
            </w:r>
          </w:p>
        </w:tc>
      </w:tr>
      <w:tr>
        <w:tc>
          <w:tcPr/>
          <w:p>
            <w:pPr>
              <w:pStyle w:val="Compact"/>
            </w:pPr>
            <w:r>
              <w:t xml:space="preserve">Réplication du modèle Liaison par un acteur capitalisé</w:t>
            </w:r>
          </w:p>
        </w:tc>
        <w:tc>
          <w:tcPr/>
          <w:p>
            <w:pPr>
              <w:pStyle w:val="Compact"/>
            </w:pPr>
            <w:r>
              <w:t xml:space="preserve">Élevé</w:t>
            </w:r>
          </w:p>
        </w:tc>
        <w:tc>
          <w:tcPr/>
          <w:p>
            <w:pPr>
              <w:pStyle w:val="Compact"/>
            </w:pPr>
            <w:r>
              <w:t xml:space="preserve">Verrouillage 12 mois, exclusivité partielle top vendeurs, compatibilité des données propriétaire</w:t>
            </w:r>
          </w:p>
        </w:tc>
      </w:tr>
      <w:tr>
        <w:tc>
          <w:tcPr/>
          <w:p>
            <w:pPr>
              <w:pStyle w:val="Compact"/>
            </w:pPr>
            <w:r>
              <w:t xml:space="preserve">Engagement de livraison express prioritaire non tenu</w:t>
            </w:r>
          </w:p>
        </w:tc>
        <w:tc>
          <w:tcPr/>
          <w:p>
            <w:pPr>
              <w:pStyle w:val="Compact"/>
            </w:pPr>
            <w:r>
              <w:t xml:space="preserve">Élevé</w:t>
            </w:r>
          </w:p>
        </w:tc>
        <w:tc>
          <w:tcPr/>
          <w:p>
            <w:pPr>
              <w:pStyle w:val="Compact"/>
            </w:pPr>
            <w:r>
              <w:t xml:space="preserve">Réseau livreurs dédié, stock tampon, process opérationnel plus prudent que l’engagement client</w:t>
            </w:r>
          </w:p>
        </w:tc>
      </w:tr>
      <w:tr>
        <w:tc>
          <w:tcPr/>
          <w:p>
            <w:pPr>
              <w:pStyle w:val="Compact"/>
            </w:pPr>
            <w:r>
              <w:t xml:space="preserve">Fraude vendeur / fausse pièce OEM</w:t>
            </w:r>
          </w:p>
        </w:tc>
        <w:tc>
          <w:tcPr/>
          <w:p>
            <w:pPr>
              <w:pStyle w:val="Compact"/>
            </w:pPr>
            <w:r>
              <w:t xml:space="preserve">Critique (marque)</w:t>
            </w:r>
          </w:p>
        </w:tc>
        <w:tc>
          <w:tcPr/>
          <w:p>
            <w:pPr>
              <w:pStyle w:val="Compact"/>
            </w:pPr>
            <w:r>
              <w:t xml:space="preserve">Garantie 100 % remplacement, fonds de garantie, ban immédiat</w:t>
            </w:r>
          </w:p>
        </w:tc>
      </w:tr>
      <w:tr>
        <w:tc>
          <w:tcPr/>
          <w:p>
            <w:pPr>
              <w:pStyle w:val="Compact"/>
            </w:pPr>
            <w:r>
              <w:t xml:space="preserve">Régulation DGI hostile à un acteur privé FNE-CI</w:t>
            </w:r>
          </w:p>
        </w:tc>
        <w:tc>
          <w:tcPr/>
          <w:p>
            <w:pPr>
              <w:pStyle w:val="Compact"/>
            </w:pPr>
            <w:r>
              <w:t xml:space="preserve">Élevé</w:t>
            </w:r>
          </w:p>
        </w:tc>
        <w:tc>
          <w:tcPr/>
          <w:p>
            <w:pPr>
              <w:pStyle w:val="Compact"/>
            </w:pPr>
            <w:r>
              <w:t xml:space="preserve">Briefing institutionnel pré-lancement, posture partenaire de la formalisation</w:t>
            </w:r>
          </w:p>
        </w:tc>
      </w:tr>
      <w:tr>
        <w:tc>
          <w:tcPr/>
          <w:p>
            <w:pPr>
              <w:pStyle w:val="Compact"/>
            </w:pPr>
            <w:r>
              <w:t xml:space="preserve">Encaissement à la livraison (impayé, client absent)</w:t>
            </w:r>
          </w:p>
        </w:tc>
        <w:tc>
          <w:tcPr/>
          <w:p>
            <w:pPr>
              <w:pStyle w:val="Compact"/>
            </w:pPr>
            <w:r>
              <w:t xml:space="preserve">Moyen</w:t>
            </w:r>
          </w:p>
        </w:tc>
        <w:tc>
          <w:tcPr/>
          <w:p>
            <w:pPr>
              <w:pStyle w:val="Compact"/>
            </w:pPr>
            <w:r>
              <w:t xml:space="preserve">Confirmation de commande avant départ du livreur, acompte sur grosses pièces, encaissement cash ou Mobile Money à la remise</w:t>
            </w:r>
          </w:p>
        </w:tc>
      </w:tr>
      <w:tr>
        <w:tc>
          <w:tcPr/>
          <w:p>
            <w:pPr>
              <w:pStyle w:val="Compact"/>
            </w:pPr>
            <w:r>
              <w:t xml:space="preserve">Burn supérieur au plan</w:t>
            </w:r>
          </w:p>
        </w:tc>
        <w:tc>
          <w:tcPr/>
          <w:p>
            <w:pPr>
              <w:pStyle w:val="Compact"/>
            </w:pPr>
            <w:r>
              <w:t xml:space="preserve">Élevé</w:t>
            </w:r>
          </w:p>
        </w:tc>
        <w:tc>
          <w:tcPr/>
          <w:p>
            <w:pPr>
              <w:pStyle w:val="Compact"/>
            </w:pPr>
            <w:r>
              <w:t xml:space="preserve">Revue cash mensuelle, jalons Seed clairs, scénario downside runway 18 mois</w:t>
            </w:r>
          </w:p>
        </w:tc>
      </w:tr>
    </w:tbl>
    <w:bookmarkEnd w:id="38"/>
    <w:bookmarkStart w:id="39" w:name="pourquoi-maintenant-pourquoi-pièces"/>
    <w:p>
      <w:pPr>
        <w:pStyle w:val="Heading2"/>
      </w:pPr>
      <w:r>
        <w:t xml:space="preserve">12. Pourquoi maintenant, pourquoi Pièces</w:t>
      </w:r>
    </w:p>
    <w:p>
      <w:pPr>
        <w:pStyle w:val="FirstParagraph"/>
      </w:pPr>
      <w:r>
        <w:t xml:space="preserve">Le marché est gigantesque, fragmenté, mal servi.</w:t>
      </w:r>
      <w:r>
        <w:t xml:space="preserve"> </w:t>
      </w:r>
      <w:r>
        <w:rPr>
          <w:b/>
          <w:bCs/>
        </w:rPr>
        <w:t xml:space="preserve">Personne</w:t>
      </w:r>
      <w:r>
        <w:t xml:space="preserve"> </w:t>
      </w:r>
      <w:r>
        <w:t xml:space="preserve">ne combine la marketplace consommateur, la plateforme flotte B2B et la digitalisation des vendeurs de pièces détachées ; personne n’a la conformité FNE-CI native ni la base de compatibilité Côte d’Ivoire que nous construisons transaction par transaction. Ces trois éléments (</w:t>
      </w:r>
      <w:r>
        <w:rPr>
          <w:b/>
          <w:bCs/>
        </w:rPr>
        <w:t xml:space="preserve">demande, offre, conformité</w:t>
      </w:r>
      <w:r>
        <w:t xml:space="preserve">) forment un monopole défendable à 36 mois si l’exécution est tenue.</w:t>
      </w:r>
      <w:r>
        <w:t xml:space="preserve"> </w:t>
      </w:r>
      <w:r>
        <w:rPr>
          <w:b/>
          <w:bCs/>
        </w:rPr>
        <w:t xml:space="preserve">La fenêtre se referme dès qu’un acteur pan-africain capitalisé tente la même combinaison.</w:t>
      </w:r>
    </w:p>
    <w:p>
      <w:r>
        <w:pict>
          <v:rect style="width:0;height:1.5pt" o:hralign="center" o:hrstd="t" o:hr="t"/>
        </w:pict>
      </w:r>
    </w:p>
    <w:p>
      <w:pPr>
        <w:pStyle w:val="FirstParagraph"/>
      </w:pPr>
      <w:r>
        <w:rPr>
          <w:i/>
          <w:iCs/>
        </w:rPr>
        <w:t xml:space="preserve">Pièces : la pièce qu’il te faut, au juste prix, livrée et garantie. · Document interne confidentiel · Plan d’affaires v1.3 · Juin 2026. Chiffres financiers : projections internes à valider sur données réelles.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2026-07-17T21:15:38Z</dcterms:created>
  <dcterms:modified xsi:type="dcterms:W3CDTF">2026-07-17T21:15:38Z</dcterms:modified>
</cp:coreProperties>
</file>

<file path=docProps/custom.xml><?xml version="1.0" encoding="utf-8"?>
<Properties xmlns="http://schemas.openxmlformats.org/officeDocument/2006/custom-properties" xmlns:vt="http://schemas.openxmlformats.org/officeDocument/2006/docPropsVTypes"/>
</file>