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482a83b8cc627a6505640d755320656332331b"/>
    <w:p>
      <w:pPr>
        <w:pStyle w:val="Heading1"/>
      </w:pPr>
      <w:r>
        <w:t xml:space="preserve">Moins de véhicules à l'arrêt. Plus de courses. Plus de commission.</w:t>
      </w:r>
    </w:p>
    <w:bookmarkStart w:id="20" w:name="le-contexte-dune-flotte-vtc"/>
    <w:p>
      <w:pPr>
        <w:pStyle w:val="Heading2"/>
      </w:pPr>
      <w:r>
        <w:t xml:space="preserve">Le contexte d'une flotte VTC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Réalité du terrain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44 000 km/an</w:t>
            </w:r>
          </w:p>
        </w:tc>
        <w:tc>
          <w:tcPr/>
          <w:p>
            <w:pPr>
              <w:pStyle w:val="Compact"/>
            </w:pPr>
            <w:r>
              <w:t xml:space="preserve">Parcourus par un véhicule VTC — soit 3× un véhicule particulier. Tous les intervalles d'entretien se compriment d'autant.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24–48 h</w:t>
            </w:r>
          </w:p>
        </w:tc>
        <w:tc>
          <w:tcPr/>
          <w:p>
            <w:pPr>
              <w:pStyle w:val="Compact"/>
            </w:pPr>
            <w:r>
              <w:t xml:space="preserve">D'immobilisation dès qu'une pièce critique manque (plaquette, amortisseur, courroie, pneu).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15 000–30 000 FCFA</w:t>
            </w:r>
          </w:p>
        </w:tc>
        <w:tc>
          <w:tcPr/>
          <w:p>
            <w:pPr>
              <w:pStyle w:val="Compact"/>
            </w:pPr>
            <w:r>
              <w:t xml:space="preserve">De recette journalière perdue par véhicule à l'arrêt — donc de base de commission non perçue.</w:t>
            </w:r>
          </w:p>
        </w:tc>
      </w:tr>
    </w:tbl>
    <w:bookmarkEnd w:id="20"/>
    <w:bookmarkStart w:id="21" w:name="un-intérêt-strictement-aligné"/>
    <w:p>
      <w:pPr>
        <w:pStyle w:val="Heading2"/>
      </w:pPr>
      <w:r>
        <w:t xml:space="preserve">Un intérêt strictement aligné</w:t>
      </w:r>
    </w:p>
    <w:p>
      <w:pPr>
        <w:pStyle w:val="FirstParagraph"/>
      </w:pPr>
      <w:r>
        <w:t xml:space="preserve">Votre revenu est une fraction des courses réalisées. Le facteur qui limite ce volume n'est pas seulement la demande : c'est aussi le</w:t>
      </w:r>
      <w:r>
        <w:t xml:space="preserve"> </w:t>
      </w:r>
      <w:r>
        <w:rPr>
          <w:b/>
          <w:bCs/>
        </w:rPr>
        <w:t xml:space="preserve">nombre de véhicules effectivement disponibles</w:t>
      </w:r>
      <w:r>
        <w:t xml:space="preserve"> </w:t>
      </w:r>
      <w:r>
        <w:t xml:space="preserve">chaque jour. Sur une flotte VTC à Abidjan, cette indisponibilité est largement causée par l'entretien et les ruptures de pièces.</w:t>
      </w:r>
    </w:p>
    <w:p>
      <w:pPr>
        <w:pStyle w:val="BodyText"/>
      </w:pPr>
      <w:r>
        <w:t xml:space="preserve">La santé mécanique de la flotte partenaire est donc</w:t>
      </w:r>
      <w:r>
        <w:t xml:space="preserve"> </w:t>
      </w:r>
      <w:r>
        <w:rPr>
          <w:b/>
          <w:bCs/>
        </w:rPr>
        <w:t xml:space="preserve">un déterminant direct de votre volume de courses</w:t>
      </w:r>
      <w:r>
        <w:t xml:space="preserve"> </w:t>
      </w:r>
      <w:r>
        <w:t xml:space="preserve">— un levier que personne n'opère aujourd'hui.</w:t>
      </w:r>
    </w:p>
    <w:bookmarkEnd w:id="21"/>
    <w:bookmarkStart w:id="22" w:name="le-coût-caché-pour-votre-écosystème"/>
    <w:p>
      <w:pPr>
        <w:pStyle w:val="Heading2"/>
      </w:pPr>
      <w:r>
        <w:t xml:space="preserve">Le coût caché pour votre écosystème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Réalité de la flotte partenaire</w:t>
            </w:r>
          </w:p>
        </w:tc>
        <w:tc>
          <w:tcPr/>
          <w:p>
            <w:pPr>
              <w:pStyle w:val="Compact"/>
            </w:pPr>
            <w:r>
              <w:t xml:space="preserve">Conséquence pour Yango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Pièce critique manquante</w:t>
            </w:r>
            <w:r>
              <w:t xml:space="preserve"> </w:t>
            </w:r>
            <w:r>
              <w:t xml:space="preserve">— véhicule cloué 24–48 h</w:t>
            </w:r>
          </w:p>
        </w:tc>
        <w:tc>
          <w:tcPr/>
          <w:p>
            <w:pPr>
              <w:pStyle w:val="Compact"/>
            </w:pPr>
            <w:r>
              <w:t xml:space="preserve">Courses non réalisées → commission non perçue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Pièces contrefaites</w:t>
            </w:r>
            <w:r>
              <w:t xml:space="preserve"> </w:t>
            </w:r>
            <w:r>
              <w:t xml:space="preserve">— re-panne sous quelques semaines</w:t>
            </w:r>
          </w:p>
        </w:tc>
        <w:tc>
          <w:tcPr/>
          <w:p>
            <w:pPr>
              <w:pStyle w:val="Compact"/>
            </w:pPr>
            <w:r>
              <w:t xml:space="preserve">Immobilisations répétées → chauffeurs découragés → churn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Véhicules « gouffres »</w:t>
            </w:r>
            <w:r>
              <w:t xml:space="preserve"> </w:t>
            </w:r>
            <w:r>
              <w:t xml:space="preserve">— 5 % du parc = 30 % du budget</w:t>
            </w:r>
          </w:p>
        </w:tc>
        <w:tc>
          <w:tcPr/>
          <w:p>
            <w:pPr>
              <w:pStyle w:val="Compact"/>
            </w:pPr>
            <w:r>
              <w:t xml:space="preserve">Partenaires qui perdent de l'argent → ils quittent l'activité</w:t>
            </w:r>
          </w:p>
        </w:tc>
      </w:tr>
    </w:tbl>
    <w:bookmarkEnd w:id="22"/>
    <w:bookmarkStart w:id="23" w:name="ce-que-pièces-apporte-au-réseau"/>
    <w:p>
      <w:pPr>
        <w:pStyle w:val="Heading2"/>
      </w:pPr>
      <w:r>
        <w:t xml:space="preserve">Ce que Pièces apporte au réseau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Disponibilité 24 h garantie</w:t>
      </w:r>
      <w:r>
        <w:t xml:space="preserve"> </w:t>
      </w:r>
      <w:r>
        <w:t xml:space="preserve">sur les références critiques (filtres, plaquettes, courroies, pneus, huile) via stock tampon dédié — la rupture qui cloue le véhicule disparaît.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Livraison 3 h chrono à Abidjan</w:t>
      </w:r>
      <w:r>
        <w:t xml:space="preserve"> </w:t>
      </w:r>
      <w:r>
        <w:t xml:space="preserve">sur pièce en stock : le véhicule repart le jour même, pas le surlendemain.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−20 à −30 % sur le poste pièces</w:t>
      </w:r>
      <w:r>
        <w:t xml:space="preserve">, prix transparents : des partenaires plus rentables sont des partenaires fidèles.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Pièces qui durent</w:t>
      </w:r>
      <w:r>
        <w:t xml:space="preserve"> </w:t>
      </w:r>
      <w:r>
        <w:t xml:space="preserve">: lutte anti-contrefaçon et garantie intermédiée → moins de re-pannes et de réimmobilisations. Détection des véhicules « gouffres ».</w:t>
      </w:r>
    </w:p>
    <w:bookmarkEnd w:id="23"/>
    <w:bookmarkStart w:id="24" w:name="ce-que-nous-ne-sommes-pas"/>
    <w:p>
      <w:pPr>
        <w:pStyle w:val="Heading2"/>
      </w:pPr>
      <w:r>
        <w:t xml:space="preserve">Ce que nous ne sommes pas</w:t>
      </w:r>
    </w:p>
    <w:p>
      <w:pPr>
        <w:pStyle w:val="FirstParagraph"/>
      </w:pPr>
      <w:r>
        <w:t xml:space="preserve">Pour lever toute ambiguïté :</w:t>
      </w:r>
      <w:r>
        <w:t xml:space="preserve"> </w:t>
      </w:r>
      <w:r>
        <w:rPr>
          <w:b/>
          <w:bCs/>
        </w:rPr>
        <w:t xml:space="preserve">Pièces n'est ni un concurrent de Yango, ni un outil de pilotage ou de recrutement de chauffeurs.</w:t>
      </w:r>
      <w:r>
        <w:t xml:space="preserve"> </w:t>
      </w:r>
      <w:r>
        <w:t xml:space="preserve">Nous ne touchons ni à la mise en relation, ni à la commission, ni aux données de courses. Nous opérons uniquement</w:t>
      </w:r>
      <w:r>
        <w:t xml:space="preserve"> </w:t>
      </w:r>
      <w:r>
        <w:rPr>
          <w:b/>
          <w:bCs/>
        </w:rPr>
        <w:t xml:space="preserve">l'approvisionnement en pièces et l'entretien</w:t>
      </w:r>
      <w:r>
        <w:t xml:space="preserve"> </w:t>
      </w:r>
      <w:r>
        <w:t xml:space="preserve">— une couche qu'aucun acteur de votre écosystème ne couvre aujourd'hui.</w:t>
      </w:r>
    </w:p>
    <w:bookmarkEnd w:id="24"/>
    <w:bookmarkStart w:id="25" w:name="trois-formes-de-collaboration"/>
    <w:p>
      <w:pPr>
        <w:pStyle w:val="Heading2"/>
      </w:pPr>
      <w:r>
        <w:t xml:space="preserve">Trois formes de collaboration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Ce que fait Yango</w:t>
            </w:r>
          </w:p>
        </w:tc>
        <w:tc>
          <w:tcPr/>
          <w:p>
            <w:pPr>
              <w:pStyle w:val="Compact"/>
            </w:pPr>
            <w:r>
              <w:t xml:space="preserve">Bénéfice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Référencement</w:t>
            </w:r>
          </w:p>
        </w:tc>
        <w:tc>
          <w:tcPr/>
          <w:p>
            <w:pPr>
              <w:pStyle w:val="Compact"/>
            </w:pPr>
            <w:r>
              <w:t xml:space="preserve">Recommander Pièces comme solution pièces &amp; entretien à votre réseau</w:t>
            </w:r>
          </w:p>
        </w:tc>
        <w:tc>
          <w:tcPr/>
          <w:p>
            <w:pPr>
              <w:pStyle w:val="Compact"/>
            </w:pPr>
            <w:r>
              <w:t xml:space="preserve">Effort minimal · gain de disponibilité immédiat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Co-marketing</w:t>
            </w:r>
          </w:p>
        </w:tc>
        <w:tc>
          <w:tcPr/>
          <w:p>
            <w:pPr>
              <w:pStyle w:val="Compact"/>
            </w:pPr>
            <w:r>
              <w:t xml:space="preserve">Offre conjointe « Partenaire Yango » : onboarding et tarif dédiés</w:t>
            </w:r>
          </w:p>
        </w:tc>
        <w:tc>
          <w:tcPr/>
          <w:p>
            <w:pPr>
              <w:pStyle w:val="Compact"/>
            </w:pPr>
            <w:r>
              <w:t xml:space="preserve">Argument de rétention différenciant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Intégration</w:t>
            </w:r>
          </w:p>
        </w:tc>
        <w:tc>
          <w:tcPr/>
          <w:p>
            <w:pPr>
              <w:pStyle w:val="Compact"/>
            </w:pPr>
            <w:r>
              <w:t xml:space="preserve">Lien depuis l'espace partenaire vers la commande Pièces</w:t>
            </w:r>
          </w:p>
        </w:tc>
        <w:tc>
          <w:tcPr/>
          <w:p>
            <w:pPr>
              <w:pStyle w:val="Compact"/>
            </w:pPr>
            <w:r>
              <w:t xml:space="preserve">Parcours fluide · données consolidées</w:t>
            </w:r>
          </w:p>
        </w:tc>
      </w:tr>
    </w:tbl>
    <w:bookmarkEnd w:id="25"/>
    <w:bookmarkStart w:id="27" w:name="le-pilote-que-nous-proposons"/>
    <w:p>
      <w:pPr>
        <w:pStyle w:val="Heading2"/>
      </w:pPr>
      <w:r>
        <w:t xml:space="preserve">Le pilote que nous proposons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60 jours</w:t>
      </w:r>
      <w:r>
        <w:t xml:space="preserve">, sur</w:t>
      </w:r>
      <w:r>
        <w:t xml:space="preserve"> </w:t>
      </w:r>
      <w:r>
        <w:rPr>
          <w:b/>
          <w:bCs/>
        </w:rPr>
        <w:t xml:space="preserve">2 à 3 partenaires</w:t>
      </w:r>
      <w:r>
        <w:t xml:space="preserve"> </w:t>
      </w:r>
      <w:r>
        <w:t xml:space="preserve">de votre réseau (flottes de 10 à 50 véhicules).</w:t>
      </w:r>
    </w:p>
    <w:p>
      <w:pPr>
        <w:pStyle w:val="Compact"/>
        <w:numPr>
          <w:ilvl w:val="0"/>
          <w:numId w:val="1002"/>
        </w:numPr>
      </w:pPr>
      <w:r>
        <w:t xml:space="preserve">Indicateur clé :</w:t>
      </w:r>
      <w:r>
        <w:t xml:space="preserve"> </w:t>
      </w:r>
      <w:r>
        <w:rPr>
          <w:b/>
          <w:bCs/>
        </w:rPr>
        <w:t xml:space="preserve">jours-véhicule d'immobilisation évités</w:t>
      </w:r>
      <w:r>
        <w:t xml:space="preserve">, traduits en courses additionnelles.</w:t>
      </w:r>
    </w:p>
    <w:p>
      <w:pPr>
        <w:pStyle w:val="Compact"/>
        <w:numPr>
          <w:ilvl w:val="0"/>
          <w:numId w:val="1002"/>
        </w:numPr>
      </w:pPr>
      <w:r>
        <w:t xml:space="preserve">Restitution chiffrée conjointe — et décision d'élargir si la mécanique fonctionne.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Pièces.ci — Marketplace pièces auto &amp; solutions flotte · Abidjan, Côte d'Ivoire ·</w:t>
      </w:r>
      <w:r>
        <w:t xml:space="preserve"> </w:t>
      </w:r>
      <w:hyperlink r:id="rId26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Données d'usage VTC issues de l'étude sectorielle Pièces « Coûts d'exploitation VTC en Côte d'Ivoire » (mai 2026), construites à partir de prix de marché publics et d'hypothèses d'usage explicitées. Chiffres indicatifs à valider sur données de flotte réelles.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2026-06-08T14:30:58Z</dcterms:created>
  <dcterms:modified xsi:type="dcterms:W3CDTF">2026-06-08T14:30:58Z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