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ièces"/>
    <w:p>
      <w:pPr>
        <w:pStyle w:val="Heading1"/>
      </w:pPr>
      <w:r>
        <w:t xml:space="preserve">Pièces</w:t>
      </w:r>
    </w:p>
    <w:bookmarkStart w:id="9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Mécanicien</w:t>
      </w:r>
      <w:r>
        <w:t xml:space="preserve"> </w:t>
      </w:r>
      <w:r>
        <w:t xml:space="preserve">: perd 2 à 4 h par pièce à faire le tour des cantines.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30 000 à 50 000 F/jour</w:t>
      </w:r>
      <w:r>
        <w:t xml:space="preserve"> </w:t>
      </w:r>
      <w:r>
        <w:t xml:space="preserve">par véhicule immobilisé.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sa cantine,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9"/>
    <w:bookmarkStart w:id="10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propriétaire paie en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le vendeur livre.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 informels, sans smartphone requis.</w:t>
      </w:r>
    </w:p>
    <w:bookmarkEnd w:id="10"/>
    <w:bookmarkStart w:id="11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(Gemini)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11"/>
    <w:bookmarkStart w:id="12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35–50 Mds F</w:t>
            </w:r>
          </w:p>
        </w:tc>
      </w:tr>
    </w:tbl>
    <w:p>
      <w:pPr>
        <w:pStyle w:val="BodyText"/>
      </w:pPr>
      <w:r>
        <w:t xml:space="preserve">À une take rate de 9–12 %, le SOM représente</w:t>
      </w:r>
      <w:r>
        <w:t xml:space="preserve"> </w:t>
      </w:r>
      <w:r>
        <w:rPr>
          <w:b/>
          <w:bCs/>
        </w:rPr>
        <w:t xml:space="preserve">4–6 Mds FCFA de revenu net annuel</w:t>
      </w:r>
      <w:r>
        <w:t xml:space="preserve"> </w:t>
      </w:r>
      <w:r>
        <w:t xml:space="preserve">(~6–10 M USD).</w:t>
      </w:r>
    </w:p>
    <w:bookmarkEnd w:id="12"/>
    <w:bookmarkStart w:id="13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~25 000 véhicules, **~100 000 courses/jour**, 160+ entreprises de flotte, HQ régional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l'escrow devient possible.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13"/>
    <w:bookmarkStart w:id="14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a explosé :</w:t>
      </w:r>
      <w:r>
        <w:t xml:space="preserve"> </w:t>
      </w:r>
      <w:r>
        <w:rPr>
          <w:b/>
          <w:bCs/>
        </w:rPr>
        <w:t xml:space="preserve">~30 000 véhicules en 2026</w:t>
      </w:r>
      <w:r>
        <w:t xml:space="preserve"> </w:t>
      </w:r>
      <w:r>
        <w:t xml:space="preserve">(vs 5–6k en 2024), Yango ~25 000 à Abidjan.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 (</w:t>
      </w:r>
      <w:r>
        <w:rPr>
          <w:b/>
          <w:bCs/>
        </w:rPr>
        <w:t xml:space="preserve">~1,3 M F/an</w:t>
      </w:r>
      <w:r>
        <w:t xml:space="preserve"> </w:t>
      </w:r>
      <w:r>
        <w:t xml:space="preserve">de pièces).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(15–30k F/jour) → douleur aiguë et mesurable.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~160 entreprises de flotte</w:t>
      </w:r>
      <w:r>
        <w:t xml:space="preserve"> </w:t>
      </w:r>
      <w:r>
        <w:t xml:space="preserve">Yango = cibles B2B concentrées et immédiates.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 et bâtir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14"/>
    <w:bookmarkStart w:id="15" w:name="modèle-économique"/>
    <w:p>
      <w:pPr>
        <w:pStyle w:val="Heading2"/>
      </w:pPr>
      <w:r>
        <w:t xml:space="preserve">Modèle économique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revenu net</w:t>
      </w:r>
      <w:r>
        <w:t xml:space="preserve"> </w:t>
      </w:r>
      <w:r>
        <w:rPr>
          <w:b/>
          <w:bCs/>
        </w:rPr>
        <w:t xml:space="preserve">2 560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bookmarkEnd w:id="15"/>
    <w:bookmarkStart w:id="16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16"/>
    <w:bookmarkStart w:id="17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cantines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Escrow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17"/>
    <w:bookmarkStart w:id="18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18"/>
    <w:bookmarkStart w:id="19" w:name="la-demande"/>
    <w:p>
      <w:pPr>
        <w:pStyle w:val="Heading2"/>
      </w:pPr>
      <w:r>
        <w:t xml:space="preserve">La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Série A 4–7 M USD</w:t>
      </w:r>
      <w:r>
        <w:t xml:space="preserve">.</w:t>
      </w:r>
    </w:p>
    <w:bookmarkEnd w:id="19"/>
    <w:bookmarkStart w:id="21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2026-06-07T06:24:06Z</dcterms:created>
  <dcterms:modified xsi:type="dcterms:W3CDTF">2026-06-07T06:24:06Z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