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bc1f6aada5dd1f3928f231525995c7417cb5ba7"/>
    <w:p>
      <w:pPr>
        <w:pStyle w:val="Heading1"/>
      </w:pPr>
      <w:r>
        <w:t xml:space="preserve">Offre commerciale — Pièces pour [Nom de l'entreprise BTP]</w:t>
      </w:r>
    </w:p>
    <w:p>
      <w:pPr>
        <w:pStyle w:val="FirstParagraph"/>
      </w:pPr>
      <w:r>
        <w:rPr>
          <w:i/>
          <w:iCs/>
        </w:rPr>
        <w:t xml:space="preserve">Confidentiel · Référence : PCS-BTP-2026-05-001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BTP]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800 véhicules</w:t>
      </w:r>
      <w:r>
        <w:t xml:space="preserve"> </w:t>
      </w:r>
      <w:r>
        <w:t xml:space="preserve">(camions, engins lourds, pickups de chantier) 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BTP]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(800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4 000 000 FCFA</w:t>
            </w:r>
          </w:p>
        </w:tc>
        <w:tc>
          <w:tcPr/>
          <w:p>
            <w:pPr>
              <w:pStyle w:val="Compact"/>
            </w:pPr>
            <w:r>
              <w:t xml:space="preserve">48 000 000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8 000 000 FCFA</w:t>
            </w:r>
          </w:p>
        </w:tc>
        <w:tc>
          <w:tcPr/>
          <w:p>
            <w:pPr>
              <w:pStyle w:val="Compact"/>
            </w:pPr>
            <w:r>
              <w:t xml:space="preserve">96 000 000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 avec sourcing engins lourds).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Xea7254f1e4606bc83100a7e80bbf6569fb66057"/>
    <w:p>
      <w:pPr>
        <w:pStyle w:val="Heading3"/>
      </w:pPr>
      <w:r>
        <w:t xml:space="preserve">Flotte Pro (40 M FCFA / an en paiement annuel)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(camions, pickups) +</w:t>
      </w:r>
      <w:r>
        <w:t xml:space="preserve"> </w:t>
      </w:r>
      <w:r>
        <w:rPr>
          <w:b/>
          <w:bCs/>
        </w:rPr>
        <w:t xml:space="preserve">sourcing dédié engins lourds</w:t>
      </w:r>
      <w:r>
        <w:t xml:space="preserve"> </w:t>
      </w:r>
      <w:r>
        <w:t xml:space="preserve">(CAT, Komatsu, Hitachi, Liebherr, Volvo Construction)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 + délai)</w:t>
      </w:r>
    </w:p>
    <w:p>
      <w:pPr>
        <w:pStyle w:val="Compact"/>
        <w:numPr>
          <w:ilvl w:val="0"/>
          <w:numId w:val="1001"/>
        </w:numPr>
      </w:pPr>
      <w:r>
        <w:t xml:space="preserve">Tableau de bord flotte par chantier : 800 véhicules, vues par chantier / catégorie / coût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Vue spécifique « engins lourds »</w:t>
      </w:r>
      <w:r>
        <w:t xml:space="preserve"> </w:t>
      </w:r>
      <w:r>
        <w:t xml:space="preserve">: coût/heure d'usage, coût cumulé, comparaison vs flotte similaire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 ou coût/heure, par catégorie, par chantier,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 — adaptées aux régimes sévères BTP (intervalles courts : 250 h pour huile hydraulique, 500 h pour transmissions, etc.)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SKU critiques engins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 : un par chantier, jour de livraison hebdomadaire défini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 compatible SAP / Sage / Ciel / Cegid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cession / revente)</w:t>
      </w:r>
    </w:p>
    <w:p>
      <w:pPr>
        <w:pStyle w:val="Compact"/>
        <w:numPr>
          <w:ilvl w:val="0"/>
          <w:numId w:val="1001"/>
        </w:numPr>
      </w:pPr>
      <w:r>
        <w:t xml:space="preserve">Rôles fins : direction technique, responsable parc, chef de chantier, mécanicien, comptable</w:t>
      </w:r>
    </w:p>
    <w:p>
      <w:pPr>
        <w:pStyle w:val="Compact"/>
        <w:numPr>
          <w:ilvl w:val="0"/>
          <w:numId w:val="1001"/>
        </w:numPr>
      </w:pPr>
      <w:r>
        <w:t xml:space="preserve">Utilisateurs illimités, chantiers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0a467a78f7af786b6bce6bde02cbf7dee6b9f61"/>
    <w:p>
      <w:pPr>
        <w:pStyle w:val="Heading3"/>
      </w:pPr>
      <w:r>
        <w:t xml:space="preserve">Flotte Pro + (80 M FCFA / an en paiement annuel)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sur les 4 villes pilotes (San-Pédro, Bouaké, Yamoussoukro, Korhogo)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 trimestrielle vers sites miniers et chantiers isolés</w:t>
      </w:r>
      <w:r>
        <w:t xml:space="preserve"> </w:t>
      </w:r>
      <w:r>
        <w:t xml:space="preserve">à la demande (Tongon, Ity, Bonikro, Anguédédou…)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catalogue,</w:t>
      </w:r>
      <w:r>
        <w:t xml:space="preserve"> </w:t>
      </w:r>
      <w:r>
        <w:rPr>
          <w:b/>
          <w:bCs/>
        </w:rPr>
        <w:t xml:space="preserve">import express engins lourds</w:t>
      </w:r>
      <w:r>
        <w:t xml:space="preserve"> </w:t>
      </w:r>
      <w:r>
        <w:t xml:space="preserve">(France, Émirats) pour références rares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documentée + webhooks d'événements</w:t>
      </w:r>
      <w:r>
        <w:t xml:space="preserve"> </w:t>
      </w:r>
      <w:r>
        <w:t xml:space="preserve">pour intégration GMAO (Maximo, Coswin, ManWinWin, SAP PM)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cash-flow.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pour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l'activation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 vers sites miniers et chantiers isolés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(références rares)</w:t>
            </w:r>
          </w:p>
        </w:tc>
        <w:tc>
          <w:tcPr/>
          <w:p>
            <w:pPr>
              <w:pStyle w:val="Compact"/>
            </w:pPr>
            <w:r>
              <w:t xml:space="preserve">Réponse sous 24 h, délai annoncé avant engagement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BTP]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Importer l'intégralité de la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Passer les commandes pièces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Méthodologie de calcul d'économies partagée contradictoirement avec l'équipe Pièces (documentée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 ou 2 chantiers</w:t>
      </w:r>
      <w:r>
        <w:t xml:space="preserve"> </w:t>
      </w:r>
      <w:r>
        <w:t xml:space="preserve">sélectionnés par [Nom de l'entreprise BTP] (typiquement 50 à 100 véhicules/engins)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Pièces, présence terrain au démarrage</w:t>
      </w:r>
    </w:p>
    <w:bookmarkEnd w:id="21"/>
    <w:bookmarkStart w:id="22" w:name="phase-roll-out-t0--30-à-t0--120-jours"/>
    <w:p>
      <w:pPr>
        <w:pStyle w:val="Heading3"/>
      </w:pPr>
      <w:r>
        <w:t xml:space="preserve">Phase roll-out (T0 + 30 à T0 + 120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(800 véhicules/engins) — format simple : marque, modèle, année, immatriculation ou numéro de série, h ou km, type d'usage, chantier d'affectation</w:t>
      </w:r>
    </w:p>
    <w:p>
      <w:pPr>
        <w:pStyle w:val="Compact"/>
        <w:numPr>
          <w:ilvl w:val="0"/>
          <w:numId w:val="1008"/>
        </w:numPr>
      </w:pPr>
      <w:r>
        <w:t xml:space="preserve">Onboarding des chefs de chantier (1 demi-journée par chantier)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30 à 50 références critiques engins</w:t>
      </w:r>
    </w:p>
    <w:p>
      <w:pPr>
        <w:pStyle w:val="Compact"/>
        <w:numPr>
          <w:ilvl w:val="0"/>
          <w:numId w:val="1008"/>
        </w:numPr>
      </w:pPr>
      <w:r>
        <w:t xml:space="preserve">Identification des</w:t>
      </w:r>
      <w:r>
        <w:t xml:space="preserve"> </w:t>
      </w:r>
      <w:r>
        <w:rPr>
          <w:b/>
          <w:bCs/>
        </w:rPr>
        <w:t xml:space="preserve">engins prioritaires Flotte Pro +</w:t>
      </w:r>
      <w:r>
        <w:t xml:space="preserve"> </w:t>
      </w:r>
      <w:r>
        <w:t xml:space="preserve">(engins lourds à forte dépendance opérationnelle)</w:t>
      </w:r>
    </w:p>
    <w:bookmarkEnd w:id="22"/>
    <w:bookmarkStart w:id="23" w:name="X94a1e5e812bf28984653fdfb7e2cc49e9598810"/>
    <w:p>
      <w:pPr>
        <w:pStyle w:val="Heading3"/>
      </w:pPr>
      <w:r>
        <w:t xml:space="preserve">Phase steady-state (T0 + 120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parc)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Direction technique / DAF)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chantiers, ajout de SKU critiques, ajustement seuils alertes)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véhicules/engins, alertes maintenance, plans d'entretien).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BTP] peut continuer à acheter hors Pièces si elle le souhaite, mais perd la visibilité consolidée et la facturation normalisée sur ces achats.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BTP de 800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+ sur les chantiers principaux (300–500 véhicules/engins prioritaires) pour 12 mois</w:t>
      </w:r>
      <w:r>
        <w:t xml:space="preserve">, payé annuellement. Le reste du parc (300–500 véhicules secondaires : pickups, véhicules de liaison, parc dormant) en</w:t>
      </w:r>
      <w:r>
        <w:t xml:space="preserve"> </w:t>
      </w:r>
      <w:r>
        <w:rPr>
          <w:b/>
          <w:bCs/>
        </w:rPr>
        <w:t xml:space="preserve">Flotte Pro</w:t>
      </w:r>
      <w:r>
        <w:t xml:space="preserve">.</w:t>
      </w:r>
    </w:p>
    <w:p>
      <w:pPr>
        <w:pStyle w:val="BodyText"/>
      </w:pPr>
      <w:r>
        <w:t xml:space="preserve">Configuration cible :</w:t>
      </w:r>
    </w:p>
    <w:p>
      <w:pPr>
        <w:pStyle w:val="Compact"/>
        <w:numPr>
          <w:ilvl w:val="0"/>
          <w:numId w:val="1011"/>
        </w:numPr>
      </w:pPr>
      <w:r>
        <w:t xml:space="preserve">400 véh en Flotte Pro + : 40 M FCFA/an (annuel)</w:t>
      </w:r>
    </w:p>
    <w:p>
      <w:pPr>
        <w:pStyle w:val="Compact"/>
        <w:numPr>
          <w:ilvl w:val="0"/>
          <w:numId w:val="1011"/>
        </w:numPr>
      </w:pPr>
      <w:r>
        <w:t xml:space="preserve">400 véh en Flotte Pro : 20 M FCFA/an (annuel)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: 60 M FCFA/an</w:t>
      </w:r>
      <w:r>
        <w:t xml:space="preserve"> </w:t>
      </w:r>
      <w:r>
        <w:t xml:space="preserve">pour un ROI projeté de 165 à 200 M FCFA/an (ratio ×2,7 à ×3,3).</w:t>
      </w:r>
    </w:p>
    <w:p>
      <w:pPr>
        <w:pStyle w:val="FirstParagraph"/>
      </w:pPr>
      <w:r>
        <w:t xml:space="preserve">Cette approche permet de concentrer la valeur de la livraison express 3 h (6 h max) là où elle paie réellement (engins lourds en chantier critique) sans gonfler le coût sur le parc non-prioritaire.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 (sites miniers, intégration GMAO, fréquences de livraison hebdomadaire).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PCS-BTP-2026-05-001.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2026-06-06T20:58:18Z</dcterms:created>
  <dcterms:modified xsi:type="dcterms:W3CDTF">2026-06-06T20:58:18Z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