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b0f6f3fc60b0bca2a261b2113225e432ff19c9"/>
    <w:p>
      <w:pPr>
        <w:pStyle w:val="Heading1"/>
      </w:pPr>
      <w:r>
        <w:t xml:space="preserve">Moins de véhicules immobilisés. Plus de courses. Plus de commission.</w:t>
      </w:r>
    </w:p>
    <w:bookmarkStart w:id="20" w:name="lintérêt-aligné"/>
    <w:p>
      <w:pPr>
        <w:pStyle w:val="Heading2"/>
      </w:pPr>
      <w:r>
        <w:t xml:space="preserve">L'intérêt aligné</w:t>
      </w:r>
    </w:p>
    <w:p>
      <w:pPr>
        <w:pStyle w:val="FirstParagraph"/>
      </w:pPr>
      <w:r>
        <w:t xml:space="preserve">Votre revenu est une fraction des courses réalisées. Le facteur qui limite ce volume n'est pas seulement la demande : c'est aussi le</w:t>
      </w:r>
      <w:r>
        <w:t xml:space="preserve"> </w:t>
      </w:r>
      <w:r>
        <w:rPr>
          <w:b/>
          <w:bCs/>
        </w:rPr>
        <w:t xml:space="preserve">nombre de véhicules effectivement disponibles</w:t>
      </w:r>
      <w:r>
        <w:t xml:space="preserve"> </w:t>
      </w:r>
      <w:r>
        <w:t xml:space="preserve">chaque jour. Or, sur une flotte VTC à Abidjan, l'indisponibilité est largement causée par l'entretien et les ruptures de pièces.</w:t>
      </w:r>
    </w:p>
    <w:p>
      <w:pPr>
        <w:pStyle w:val="BodyText"/>
      </w:pPr>
      <w:r>
        <w:t xml:space="preserve">Un véhicule VTC roule</w:t>
      </w:r>
      <w:r>
        <w:t xml:space="preserve"> </w:t>
      </w:r>
      <w:r>
        <w:rPr>
          <w:b/>
          <w:bCs/>
        </w:rPr>
        <w:t xml:space="preserve">~44 000 km/an</w:t>
      </w:r>
      <w:r>
        <w:t xml:space="preserve">, soit 3 fois un véhicule particulier. Tous les intervalles d'entretien se compriment d'autant. Quand une plaquette, un amortisseur ou un pneu manque, le véhicule est cloué</w:t>
      </w:r>
      <w:r>
        <w:t xml:space="preserve"> </w:t>
      </w:r>
      <w:r>
        <w:rPr>
          <w:b/>
          <w:bCs/>
        </w:rPr>
        <w:t xml:space="preserve">24 à 48 h</w:t>
      </w:r>
      <w:r>
        <w:t xml:space="preserve"> </w:t>
      </w:r>
      <w:r>
        <w:t xml:space="preserve">— et avec lui, sa contribution à votre GMV.</w:t>
      </w:r>
    </w:p>
    <w:bookmarkEnd w:id="20"/>
    <w:bookmarkStart w:id="21" w:name="le-coût-caché-pour-votre-écosystème"/>
    <w:p>
      <w:pPr>
        <w:pStyle w:val="Heading2"/>
      </w:pPr>
      <w:r>
        <w:t xml:space="preserve">Le coût caché pour votre écosystème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Réalité de la flotte partenaire</w:t>
            </w:r>
          </w:p>
        </w:tc>
        <w:tc>
          <w:tcPr/>
          <w:p>
            <w:pPr>
              <w:pStyle w:val="Compact"/>
            </w:pPr>
            <w:r>
              <w:t xml:space="preserve">Conséquence pour Yango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 pièce critique manquante immobilise le véhicule 24–48 h</w:t>
            </w:r>
          </w:p>
        </w:tc>
        <w:tc>
          <w:tcPr/>
          <w:p>
            <w:pPr>
              <w:pStyle w:val="Compact"/>
            </w:pPr>
            <w:r>
              <w:t xml:space="preserve">Courses non réalisées → commission non perçue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Recette journalière d'un chauffeur : 15 000–30 000 FCFA</w:t>
            </w:r>
          </w:p>
        </w:tc>
        <w:tc>
          <w:tcPr/>
          <w:p>
            <w:pPr>
              <w:pStyle w:val="Compact"/>
            </w:pPr>
            <w:r>
              <w:t xml:space="preserve">Chaque jour d'arrêt = base de commission perdue à due proportion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Pièces contrefaites → re-panne sous quelques semaines</w:t>
            </w:r>
          </w:p>
        </w:tc>
        <w:tc>
          <w:tcPr/>
          <w:p>
            <w:pPr>
              <w:pStyle w:val="Compact"/>
            </w:pPr>
            <w:r>
              <w:t xml:space="preserve">Immobilisations répétées, chauffeurs découragés, churn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Véhicules « gouffres » non identifiés (5 % du parc, 30 % du budget)</w:t>
            </w:r>
          </w:p>
        </w:tc>
        <w:tc>
          <w:tcPr/>
          <w:p>
            <w:pPr>
              <w:pStyle w:val="Compact"/>
            </w:pPr>
            <w:r>
              <w:t xml:space="preserve">Partenaires qui perdent de l'argent → quittent l'activité</w:t>
            </w:r>
          </w:p>
        </w:tc>
      </w:tr>
    </w:tbl>
    <w:p>
      <w:pPr>
        <w:pStyle w:val="BodyText"/>
      </w:pPr>
      <w:r>
        <w:t xml:space="preserve">Autrement dit : la santé mécanique de la flotte partenaire est</w:t>
      </w:r>
      <w:r>
        <w:t xml:space="preserve"> </w:t>
      </w:r>
      <w:r>
        <w:rPr>
          <w:b/>
          <w:bCs/>
        </w:rPr>
        <w:t xml:space="preserve">un déterminant direct de votre volume de courses</w:t>
      </w:r>
      <w:r>
        <w:t xml:space="preserve">. C'est un levier que personne n'opère aujourd'hui.</w:t>
      </w:r>
    </w:p>
    <w:bookmarkEnd w:id="21"/>
    <w:bookmarkStart w:id="22" w:name="ce-que-pièces-apporte-au-réseau"/>
    <w:p>
      <w:pPr>
        <w:pStyle w:val="Heading2"/>
      </w:pPr>
      <w:r>
        <w:t xml:space="preserve">Ce que Pièces apporte au réseau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Disponibilité prioritaire garantie</w:t>
      </w:r>
      <w:r>
        <w:t xml:space="preserve"> </w:t>
      </w:r>
      <w:r>
        <w:t xml:space="preserve">sur les références critiques (filtres, plaquettes, courroies, pneus, huile) via stock tampon dédié — la rupture qui cloue le véhicule disparaît.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Livraison express prioritaire à Abidjan</w:t>
      </w:r>
      <w:r>
        <w:t xml:space="preserve"> </w:t>
      </w:r>
      <w:r>
        <w:t xml:space="preserve">: notre équipe dédiée livre le plus rapidement possible sur pièce en stock : le véhicule repart le jour même, pas le surlendemain.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Lutte anti-contrefaçon et garantie intermédiée</w:t>
      </w:r>
      <w:r>
        <w:t xml:space="preserve"> </w:t>
      </w:r>
      <w:r>
        <w:t xml:space="preserve">: des pièces qui durent, donc moins de re-pannes et de réimmobilisations.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Détection des véhicules « gouffres »</w:t>
      </w:r>
      <w:r>
        <w:t xml:space="preserve"> </w:t>
      </w:r>
      <w:r>
        <w:t xml:space="preserve">: on aide vos partenaires à garder leurs flottes rentables — donc actives sur Yango plus longtemps.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Prix transparents, −20 à −30 % sur le poste pièces</w:t>
      </w:r>
      <w:r>
        <w:t xml:space="preserve"> </w:t>
      </w:r>
      <w:r>
        <w:t xml:space="preserve">: des partenaires plus rentables sont des partenaires fidèles.</w:t>
      </w:r>
    </w:p>
    <w:bookmarkEnd w:id="22"/>
    <w:bookmarkStart w:id="23" w:name="ce-que-nous-ne-sommes-pas"/>
    <w:p>
      <w:pPr>
        <w:pStyle w:val="Heading2"/>
      </w:pPr>
      <w:r>
        <w:t xml:space="preserve">Ce que nous ne sommes pas</w:t>
      </w:r>
    </w:p>
    <w:p>
      <w:pPr>
        <w:pStyle w:val="FirstParagraph"/>
      </w:pPr>
      <w:r>
        <w:t xml:space="preserve">Pour lever toute ambiguïté :</w:t>
      </w:r>
      <w:r>
        <w:t xml:space="preserve"> </w:t>
      </w:r>
      <w:r>
        <w:rPr>
          <w:b/>
          <w:bCs/>
        </w:rPr>
        <w:t xml:space="preserve">Pièces n'est pas un concurrent de Yango</w:t>
      </w:r>
      <w:r>
        <w:t xml:space="preserve">, ni un outil de pilotage de chauffeurs ou de recrutement terrain. Nous ne touchons ni à la mise en relation, ni à la commission, ni aux données de courses. Nous opérons exclusivement</w:t>
      </w:r>
      <w:r>
        <w:t xml:space="preserve"> </w:t>
      </w:r>
      <w:r>
        <w:rPr>
          <w:b/>
          <w:bCs/>
        </w:rPr>
        <w:t xml:space="preserve">l'approvisionnement en pièces et l'entretien</w:t>
      </w:r>
      <w:r>
        <w:t xml:space="preserve"> </w:t>
      </w:r>
      <w:r>
        <w:t xml:space="preserve">— une couche qu'aucun acteur de votre écosystème ne couvre aujourd'hui, et qui se branche sans friction sur les outils de gestion de flotte que vos partenaires utilisent déjà.</w:t>
      </w:r>
    </w:p>
    <w:bookmarkEnd w:id="23"/>
    <w:bookmarkStart w:id="24" w:name="trois-formes-de-collaboration-possibles"/>
    <w:p>
      <w:pPr>
        <w:pStyle w:val="Heading2"/>
      </w:pPr>
      <w:r>
        <w:t xml:space="preserve">Trois formes de collaboration possibles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Ce que fait Yango</w:t>
            </w:r>
          </w:p>
        </w:tc>
        <w:tc>
          <w:tcPr/>
          <w:p>
            <w:pPr>
              <w:pStyle w:val="Compact"/>
            </w:pPr>
            <w:r>
              <w:t xml:space="preserve">Bénéfice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Référencement</w:t>
            </w:r>
          </w:p>
        </w:tc>
        <w:tc>
          <w:tcPr/>
          <w:p>
            <w:pPr>
              <w:pStyle w:val="Compact"/>
            </w:pPr>
            <w:r>
              <w:t xml:space="preserve">Recommander Pièces comme solution pièces &amp; entretien à votre réseau partenaire</w:t>
            </w:r>
          </w:p>
        </w:tc>
        <w:tc>
          <w:tcPr/>
          <w:p>
            <w:pPr>
              <w:pStyle w:val="Compact"/>
            </w:pPr>
            <w:r>
              <w:t xml:space="preserve">Effort minimal, gain de disponibilité flotte immédiat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Co-marketing</w:t>
            </w:r>
          </w:p>
        </w:tc>
        <w:tc>
          <w:tcPr/>
          <w:p>
            <w:pPr>
              <w:pStyle w:val="Compact"/>
            </w:pPr>
            <w:r>
              <w:t xml:space="preserve">Offre conjointe « Partenaire Yango » : onboarding et tarif dédiés</w:t>
            </w:r>
          </w:p>
        </w:tc>
        <w:tc>
          <w:tcPr/>
          <w:p>
            <w:pPr>
              <w:pStyle w:val="Compact"/>
            </w:pPr>
            <w:r>
              <w:t xml:space="preserve">Argument de rétention partenaire différenciant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Intégration</w:t>
            </w:r>
          </w:p>
        </w:tc>
        <w:tc>
          <w:tcPr/>
          <w:p>
            <w:pPr>
              <w:pStyle w:val="Compact"/>
            </w:pPr>
            <w:r>
              <w:t xml:space="preserve">Lien depuis l'espace partenaire vers la commande de pièces Pièces</w:t>
            </w:r>
          </w:p>
        </w:tc>
        <w:tc>
          <w:tcPr/>
          <w:p>
            <w:pPr>
              <w:pStyle w:val="Compact"/>
            </w:pPr>
            <w:r>
              <w:t xml:space="preserve">Parcours fluide, données d'entretien consolidées</w:t>
            </w:r>
          </w:p>
        </w:tc>
      </w:tr>
    </w:tbl>
    <w:bookmarkEnd w:id="24"/>
    <w:bookmarkStart w:id="26" w:name="X69f991c984188b268faff229ec84d17a986a28f"/>
    <w:p>
      <w:pPr>
        <w:pStyle w:val="Heading2"/>
      </w:pPr>
      <w:r>
        <w:t xml:space="preserve">Ce que nous proposons comme prochaine étape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déploiement initial sur 2 à 3 partenaires</w:t>
      </w:r>
      <w:r>
        <w:t xml:space="preserve"> </w:t>
      </w:r>
      <w:r>
        <w:t xml:space="preserve">de votre réseau (flottes de 10–50 véhicules), sur 60 jours.</w:t>
      </w:r>
    </w:p>
    <w:p>
      <w:pPr>
        <w:pStyle w:val="Compact"/>
        <w:numPr>
          <w:ilvl w:val="0"/>
          <w:numId w:val="1002"/>
        </w:numPr>
      </w:pPr>
      <w:r>
        <w:t xml:space="preserve">Mesure de l'</w:t>
      </w:r>
      <w:r>
        <w:rPr>
          <w:b/>
          <w:bCs/>
        </w:rPr>
        <w:t xml:space="preserve">indicateur clé : jours-véhicule d'immobilisation évités</w:t>
      </w:r>
      <w:r>
        <w:t xml:space="preserve">, traduits en courses additionnelles.</w:t>
      </w:r>
    </w:p>
    <w:p>
      <w:pPr>
        <w:pStyle w:val="Compact"/>
        <w:numPr>
          <w:ilvl w:val="0"/>
          <w:numId w:val="1002"/>
        </w:numPr>
      </w:pPr>
      <w:r>
        <w:t xml:space="preserve">Restitution chiffrée conjointe — et décision d'élargir si la mécanique fonctionne.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Pièces.ci — Marketplace pièces auto &amp; solutions flotte · Abidjan, Côte d'Ivoire ·</w:t>
      </w:r>
      <w:r>
        <w:t xml:space="preserve"> </w:t>
      </w:r>
      <w:hyperlink r:id="rId25">
        <w:r>
          <w:rPr>
            <w:rStyle w:val="Hyperlink"/>
          </w:rPr>
          <w:t xml:space="preserve">fernando.kouame@gmail.com</w:t>
        </w:r>
      </w:hyperlink>
    </w:p>
    <w:p>
      <w:pPr>
        <w:pStyle w:val="BodyText"/>
      </w:pPr>
      <w:r>
        <w:rPr>
          <w:i/>
          <w:iCs/>
        </w:rPr>
        <w:t xml:space="preserve">Données d'usage VTC issues de l'étude sectorielle Pièces « Coûts d'exploitation VTC en Côte d'Ivoire » (mai 2026), construites à partir de prix de marché publics et d'hypothèses d'usage explicitées. Chiffres indicatifs à valider sur données de flotte réelles.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mailto:fernando.kouam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mailto:fernando.kouam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2026-07-17T21:35:33Z</dcterms:created>
  <dcterms:modified xsi:type="dcterms:W3CDTF">2026-07-17T21:35:33Z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