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20"/>
    <w:bookmarkStart w:id="27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21"/>
    <w:bookmarkStart w:id="22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22"/>
    <w:bookmarkStart w:id="23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23"/>
    <w:bookmarkStart w:id="24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24"/>
    <w:bookmarkStart w:id="25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J+1 garantie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 monétisé</w:t>
      </w:r>
      <w:r>
        <w:t xml:space="preserve"> </w:t>
      </w:r>
      <w:r>
        <w:t xml:space="preserve">: remboursement intégral des frais + 5 000 F de crédit en cas de breach.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25"/>
    <w:bookmarkStart w:id="26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26"/>
    <w:bookmarkEnd w:id="27"/>
    <w:bookmarkStart w:id="28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du SLA 3 h chrono.</w:t>
      </w:r>
    </w:p>
    <w:bookmarkEnd w:id="28"/>
    <w:bookmarkStart w:id="29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29"/>
    <w:bookmarkStart w:id="30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30"/>
    <w:bookmarkStart w:id="3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1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2026-05-27T22:42:34Z</dcterms:created>
  <dcterms:modified xsi:type="dcterms:W3CDTF">2026-05-27T22:42:34Z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