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bc1f6aada5dd1f3928f231525995c7417cb5ba7"/>
    <w:p>
      <w:pPr>
        <w:pStyle w:val="Heading1"/>
      </w:pPr>
      <w:r>
        <w:t xml:space="preserve">Offre commerciale — Pièces pour [Nom de l'entreprise BTP]</w:t>
      </w:r>
    </w:p>
    <w:p>
      <w:pPr>
        <w:pStyle w:val="FirstParagraph"/>
      </w:pPr>
      <w:r>
        <w:rPr>
          <w:i/>
          <w:iCs/>
        </w:rPr>
        <w:t xml:space="preserve">Confidentiel · Référence : PCS-BTP-2026-05-001 · Date : 27 mai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l'entreprise BTP]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800 véhicules</w:t>
      </w:r>
      <w:r>
        <w:t xml:space="preserve"> </w:t>
      </w:r>
      <w:r>
        <w:t xml:space="preserve">(camions, engins lourds, pickups de chantier) en Côte d'Ivoire. Cette offre n'est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20" w:name="Xf1bebadfc39ae7f592f5be040b0e780addd0f9d"/>
    <w:p>
      <w:pPr>
        <w:pStyle w:val="Heading2"/>
      </w:pPr>
      <w:r>
        <w:t xml:space="preserve">1. Synthèse de l'offre</w:t>
      </w:r>
    </w:p>
    <w:p>
      <w:pPr>
        <w:pStyle w:val="FirstParagraph"/>
      </w:pPr>
      <w:r>
        <w:t xml:space="preserve">Pièces.ci propose à [Nom de l'entreprise BTP]</w:t>
      </w:r>
      <w:r>
        <w:t xml:space="preserve"> </w:t>
      </w:r>
      <w:r>
        <w:rPr>
          <w:b/>
          <w:bCs/>
        </w:rPr>
        <w:t xml:space="preserve">un contrat d'abonnement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(800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d'avance)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4 000 000 FCFA</w:t>
            </w:r>
          </w:p>
        </w:tc>
        <w:tc>
          <w:tcPr/>
          <w:p>
            <w:pPr>
              <w:pStyle w:val="Compact"/>
            </w:pPr>
            <w:r>
              <w:t xml:space="preserve">48 000 000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8 000 000 FCFA</w:t>
            </w:r>
          </w:p>
        </w:tc>
        <w:tc>
          <w:tcPr/>
          <w:p>
            <w:pPr>
              <w:pStyle w:val="Compact"/>
            </w:pPr>
            <w:r>
              <w:t xml:space="preserve">96 000 000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(SLA 3 h chrono Abidjan, J+1 garanti hors Abidjan, ligne WhatsApp dédiée, concierge dépannage avec sourcing engins lourds).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L'offre n'est pas publique</w:t>
      </w:r>
      <w:r>
        <w:t xml:space="preserve"> </w:t>
      </w:r>
      <w:r>
        <w:t xml:space="preserve">et ne fait l'objet d'aucune publication sur pieces.ci.</w:t>
      </w:r>
    </w:p>
    <w:p>
      <w:r>
        <w:pict>
          <v:rect style="width:0;height:1.5pt" o:hralign="center" o:hrstd="t" o:hr="t"/>
        </w:pict>
      </w:r>
    </w:p>
    <w:bookmarkEnd w:id="20"/>
    <w:bookmarkStart w:id="23" w:name="X41205badc3a7b23791db7f49e7edbc863d464e1"/>
    <w:p>
      <w:pPr>
        <w:pStyle w:val="Heading2"/>
      </w:pPr>
      <w:r>
        <w:t xml:space="preserve">2. Périmètre fonctionnel inclus</w:t>
      </w:r>
    </w:p>
    <w:bookmarkStart w:id="21" w:name="Xea7254f1e4606bc83100a7e80bbf6569fb66057"/>
    <w:p>
      <w:pPr>
        <w:pStyle w:val="Heading3"/>
      </w:pPr>
      <w:r>
        <w:t xml:space="preserve">Flotte Pro (40 M FCFA / an en paiement annuel)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(camions, pickups) +</w:t>
      </w:r>
      <w:r>
        <w:t xml:space="preserve"> </w:t>
      </w:r>
      <w:r>
        <w:rPr>
          <w:b/>
          <w:bCs/>
        </w:rPr>
        <w:t xml:space="preserve">sourcing dédié engins lourds</w:t>
      </w:r>
      <w:r>
        <w:t xml:space="preserve"> </w:t>
      </w:r>
      <w:r>
        <w:t xml:space="preserve">(CAT, Komatsu, Hitachi, Liebherr, Volvo Construction)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 + délai)</w:t>
      </w:r>
    </w:p>
    <w:p>
      <w:pPr>
        <w:pStyle w:val="Compact"/>
        <w:numPr>
          <w:ilvl w:val="0"/>
          <w:numId w:val="1001"/>
        </w:numPr>
      </w:pPr>
      <w:r>
        <w:t xml:space="preserve">Tableau de bord flotte par chantier : 800 véhicules, vues par chantier / catégorie / coût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Vue spécifique « engins lourds »</w:t>
      </w:r>
      <w:r>
        <w:t xml:space="preserve"> </w:t>
      </w:r>
      <w:r>
        <w:t xml:space="preserve">: coût/heure d'usage, coût cumulé, comparaison vs flotte similaire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 ou coût/heure, par catégorie, par chantier, exports CSV</w:t>
      </w:r>
    </w:p>
    <w:p>
      <w:pPr>
        <w:pStyle w:val="Compact"/>
        <w:numPr>
          <w:ilvl w:val="0"/>
          <w:numId w:val="1001"/>
        </w:numPr>
      </w:pPr>
      <w:r>
        <w:t xml:space="preserve">Alertes prédictives multi-canal (WhatsApp, SMS, email) — adaptées aux régimes sévères BTP (intervalles courts : 250 h pour huile hydraulique, 500 h pour transmissions, etc.)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SKU critiques engins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 : un par chantier, jour de livraison hebdomadaire défini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par entité juridique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 compatible SAP / Sage / Ciel / Cegid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cession / revente)</w:t>
      </w:r>
    </w:p>
    <w:p>
      <w:pPr>
        <w:pStyle w:val="Compact"/>
        <w:numPr>
          <w:ilvl w:val="0"/>
          <w:numId w:val="1001"/>
        </w:numPr>
      </w:pPr>
      <w:r>
        <w:t xml:space="preserve">Rôles fins : direction technique, responsable parc, chef de chantier, mécanicien, comptable</w:t>
      </w:r>
    </w:p>
    <w:p>
      <w:pPr>
        <w:pStyle w:val="Compact"/>
        <w:numPr>
          <w:ilvl w:val="0"/>
          <w:numId w:val="1001"/>
        </w:numPr>
      </w:pPr>
      <w:r>
        <w:t xml:space="preserve">Utilisateurs illimités, chantiers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21"/>
    <w:bookmarkStart w:id="22" w:name="X0a467a78f7af786b6bce6bde02cbf7dee6b9f61"/>
    <w:p>
      <w:pPr>
        <w:pStyle w:val="Heading3"/>
      </w:pPr>
      <w:r>
        <w:t xml:space="preserve">Flotte Pro + (80 M FCFA / an en paiement annuel) — inclut tout Flotte Pro plus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3 h chrono à Abidjan</w:t>
      </w:r>
      <w:r>
        <w:t xml:space="preserve"> </w:t>
      </w:r>
      <w:r>
        <w:t xml:space="preserve">garantie quand la pièce est en stock chez un partenaire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J+1 garantie hors Abidjan</w:t>
      </w:r>
      <w:r>
        <w:t xml:space="preserve"> </w:t>
      </w:r>
      <w:r>
        <w:t xml:space="preserve">sur les 4 villes pilotes (San-Pédro, Bouaké, Yamoussoukro, Korhogo)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Extension trimestrielle vers sites miniers et chantiers isolés</w:t>
      </w:r>
      <w:r>
        <w:t xml:space="preserve"> </w:t>
      </w:r>
      <w:r>
        <w:t xml:space="preserve">à la demande (Tongon, Ity, Bonikro, Anguédédou…)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SLA monétisé</w:t>
      </w:r>
      <w:r>
        <w:t xml:space="preserve"> </w:t>
      </w:r>
      <w:r>
        <w:t xml:space="preserve">: remboursement intégral des frais + 5 000 F de crédit par breach</w:t>
      </w:r>
    </w:p>
    <w:p>
      <w:pPr>
        <w:pStyle w:val="Compact"/>
        <w:numPr>
          <w:ilvl w:val="0"/>
          <w:numId w:val="1002"/>
        </w:numPr>
      </w:pPr>
      <w:r>
        <w:t xml:space="preserve">Pickup prioritaire chez le vendeur en 30 min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catalogue,</w:t>
      </w:r>
      <w:r>
        <w:t xml:space="preserve"> </w:t>
      </w:r>
      <w:r>
        <w:rPr>
          <w:b/>
          <w:bCs/>
        </w:rPr>
        <w:t xml:space="preserve">import express engins lourds</w:t>
      </w:r>
      <w:r>
        <w:t xml:space="preserve"> </w:t>
      </w:r>
      <w:r>
        <w:t xml:space="preserve">(France, Émirats) pour références rares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 documentée + webhooks d'événements</w:t>
      </w:r>
      <w:r>
        <w:t xml:space="preserve"> </w:t>
      </w:r>
      <w:r>
        <w:t xml:space="preserve">pour intégration GMAO (Maximo, Coswin, ManWinWin, SAP PM)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4fd05c05e744338b6a491ba4214e3db9be1386"/>
    <w:p>
      <w:pPr>
        <w:pStyle w:val="Heading2"/>
      </w:pPr>
      <w:r>
        <w:t xml:space="preserve">3. Modalités de paiement et de facturation</w:t>
      </w:r>
    </w:p>
    <w:bookmarkStart w:id="24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d'avance,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l'optimisation cash-flow.</w:t>
      </w:r>
    </w:p>
    <w:bookmarkEnd w:id="24"/>
    <w:bookmarkStart w:id="25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4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4"/>
        </w:numPr>
      </w:pPr>
      <w:r>
        <w:t xml:space="preserve">Mobile Money Pro (Orange Money, MTN MoMo, Wave) pour paiements infra-mensuels</w:t>
      </w:r>
    </w:p>
    <w:p>
      <w:pPr>
        <w:pStyle w:val="Compact"/>
        <w:numPr>
          <w:ilvl w:val="0"/>
          <w:numId w:val="1004"/>
        </w:numPr>
      </w:pPr>
      <w:r>
        <w:t xml:space="preserve">Cartes bancaires entreprise via CinetPay (à l'activation du paiement automatisé, Q3 2026)</w:t>
      </w:r>
    </w:p>
    <w:bookmarkEnd w:id="25"/>
    <w:bookmarkStart w:id="26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5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5"/>
        </w:numPr>
      </w:pPr>
      <w:r>
        <w:t xml:space="preserve">Annuel : payable à la signature ou à la date d'effet du contrat</w:t>
      </w:r>
    </w:p>
    <w:p>
      <w:pPr>
        <w:pStyle w:val="Compact"/>
        <w:numPr>
          <w:ilvl w:val="0"/>
          <w:numId w:val="1005"/>
        </w:numPr>
      </w:pPr>
      <w:r>
        <w:t xml:space="preserve">En cas d'impayé après 60 jours, l'abonnement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979e0091f43d5b7553da9fcd223890a6ebc986c"/>
    <w:p>
      <w:pPr>
        <w:pStyle w:val="Heading2"/>
      </w:pPr>
      <w:r>
        <w:t xml:space="preserve">4. Engagements de service (SLA)</w:t>
      </w:r>
    </w:p>
    <w:bookmarkStart w:id="28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</w:t>
            </w:r>
          </w:p>
        </w:tc>
      </w:tr>
    </w:tbl>
    <w:bookmarkEnd w:id="28"/>
    <w:bookmarkStart w:id="29" w:name="flotte-pro--en-plus"/>
    <w:p>
      <w:pPr>
        <w:pStyle w:val="Heading3"/>
      </w:pPr>
      <w:r>
        <w:t xml:space="preserve">Flotte Pro + (en plus)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 chrono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J+1 hors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J+1 ouvré</w:t>
            </w:r>
            <w:r>
              <w:t xml:space="preserve"> </w:t>
            </w:r>
            <w:r>
              <w:t xml:space="preserve">sur 4 villes pilotes, extension trimestrielle vers sites miniers et chantiers isolés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Sourcing engins lourds (références rares)</w:t>
            </w:r>
          </w:p>
        </w:tc>
        <w:tc>
          <w:tcPr/>
          <w:p>
            <w:pPr>
              <w:pStyle w:val="Compact"/>
            </w:pPr>
            <w:r>
              <w:t xml:space="preserve">Réponse sous 24 h, délai annoncé avant 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Pénalité SLA breach</w:t>
            </w:r>
          </w:p>
        </w:tc>
        <w:tc>
          <w:tcPr/>
          <w:p>
            <w:pPr>
              <w:pStyle w:val="Compact"/>
            </w:pPr>
            <w:r>
              <w:t xml:space="preserve">Remboursement intégral des frais de livraison + 5 000 F de crédit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X8c4e5e9c1c0ff0c6abf272e5d0ceb136b09c3f6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d'utilisation effective de Flotte Pro, [Nom de l'entreprise BTP] n'a pas constaté d'économies pièces au moins égales au coût de l'abonnement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d'application :</w:t>
      </w:r>
    </w:p>
    <w:p>
      <w:pPr>
        <w:pStyle w:val="Compact"/>
        <w:numPr>
          <w:ilvl w:val="0"/>
          <w:numId w:val="1006"/>
        </w:numPr>
      </w:pPr>
      <w:r>
        <w:t xml:space="preserve">Importer l'intégralité de la flotte dans Pièces dans les 30 premiers jours.</w:t>
      </w:r>
    </w:p>
    <w:p>
      <w:pPr>
        <w:pStyle w:val="Compact"/>
        <w:numPr>
          <w:ilvl w:val="0"/>
          <w:numId w:val="1006"/>
        </w:numPr>
      </w:pPr>
      <w:r>
        <w:t xml:space="preserve">Passer les commandes pièces exclusivement via la plateforme Pièces sur la période d'évaluation.</w:t>
      </w:r>
    </w:p>
    <w:p>
      <w:pPr>
        <w:pStyle w:val="Compact"/>
        <w:numPr>
          <w:ilvl w:val="0"/>
          <w:numId w:val="1006"/>
        </w:numPr>
      </w:pPr>
      <w:r>
        <w:t xml:space="preserve">Méthodologie de calcul d'économies partagée contradictoirement avec l'équipe Pièces (documentée et signée à la mise en service).</w:t>
      </w:r>
    </w:p>
    <w:p>
      <w:r>
        <w:pict>
          <v:rect style="width:0;height:1.5pt" o:hralign="center" o:hrstd="t" o:hr="t"/>
        </w:pict>
      </w:r>
    </w:p>
    <w:bookmarkEnd w:id="31"/>
    <w:bookmarkStart w:id="35" w:name="Xee5dd07076a208332078d5dd8a5e2e94ecbfae1"/>
    <w:p>
      <w:pPr>
        <w:pStyle w:val="Heading2"/>
      </w:pPr>
      <w:r>
        <w:t xml:space="preserve">6. Mise en service</w:t>
      </w:r>
    </w:p>
    <w:bookmarkStart w:id="32" w:name="phase-pilote-t0--30-jours"/>
    <w:p>
      <w:pPr>
        <w:pStyle w:val="Heading3"/>
      </w:pPr>
      <w:r>
        <w:t xml:space="preserve">Phase pilote (T0 + 30 jours)</w:t>
      </w:r>
    </w:p>
    <w:p>
      <w:pPr>
        <w:pStyle w:val="Compact"/>
        <w:numPr>
          <w:ilvl w:val="0"/>
          <w:numId w:val="1007"/>
        </w:numPr>
      </w:pPr>
      <w:r>
        <w:t xml:space="preserve">Pilote sur</w:t>
      </w:r>
      <w:r>
        <w:t xml:space="preserve"> </w:t>
      </w:r>
      <w:r>
        <w:rPr>
          <w:b/>
          <w:bCs/>
        </w:rPr>
        <w:t xml:space="preserve">1 ou 2 chantiers</w:t>
      </w:r>
      <w:r>
        <w:t xml:space="preserve"> </w:t>
      </w:r>
      <w:r>
        <w:t xml:space="preserve">sélectionnés par [Nom de l'entreprise BTP] (typiquement 50 à 100 véhicules/engins)</w:t>
      </w:r>
    </w:p>
    <w:p>
      <w:pPr>
        <w:pStyle w:val="Compact"/>
        <w:numPr>
          <w:ilvl w:val="0"/>
          <w:numId w:val="1007"/>
        </w:numPr>
      </w:pPr>
      <w:r>
        <w:t xml:space="preserve">Toutes les fonctionnalités Flotte Pro (ou Flotte Pro +) activées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Gratuit pendant 30 jours, sans engagement, sans carte bancaire</w:t>
      </w:r>
    </w:p>
    <w:p>
      <w:pPr>
        <w:pStyle w:val="Compact"/>
        <w:numPr>
          <w:ilvl w:val="0"/>
          <w:numId w:val="1007"/>
        </w:numPr>
      </w:pPr>
      <w:r>
        <w:t xml:space="preserve">Accompagnement par un Liaison senior + un membre de l'équipe produit Pièces, présence terrain au démarrage</w:t>
      </w:r>
    </w:p>
    <w:bookmarkEnd w:id="32"/>
    <w:bookmarkStart w:id="33" w:name="phase-roll-out-t0--30-à-t0--120-jours"/>
    <w:p>
      <w:pPr>
        <w:pStyle w:val="Heading3"/>
      </w:pPr>
      <w:r>
        <w:t xml:space="preserve">Phase roll-out (T0 + 30 à T0 + 120 jours)</w:t>
      </w:r>
    </w:p>
    <w:p>
      <w:pPr>
        <w:pStyle w:val="Compact"/>
        <w:numPr>
          <w:ilvl w:val="0"/>
          <w:numId w:val="1008"/>
        </w:numPr>
      </w:pPr>
      <w:r>
        <w:t xml:space="preserve">Import CSV de la flotte complète (800 véhicules/engins) — format simple : marque, modèle, année, immatriculation ou numéro de série, h ou km, type d'usage, chantier d'affectation</w:t>
      </w:r>
    </w:p>
    <w:p>
      <w:pPr>
        <w:pStyle w:val="Compact"/>
        <w:numPr>
          <w:ilvl w:val="0"/>
          <w:numId w:val="1008"/>
        </w:numPr>
      </w:pPr>
      <w:r>
        <w:t xml:space="preserve">Onboarding des chefs de chantier (1 demi-journée par chantier)</w:t>
      </w:r>
    </w:p>
    <w:p>
      <w:pPr>
        <w:pStyle w:val="Compact"/>
        <w:numPr>
          <w:ilvl w:val="0"/>
          <w:numId w:val="1008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8"/>
        </w:numPr>
      </w:pPr>
      <w:r>
        <w:t xml:space="preserve">Mise en place du stock tampon sur 30 à 50 références critiques engins</w:t>
      </w:r>
    </w:p>
    <w:p>
      <w:pPr>
        <w:pStyle w:val="Compact"/>
        <w:numPr>
          <w:ilvl w:val="0"/>
          <w:numId w:val="1008"/>
        </w:numPr>
      </w:pPr>
      <w:r>
        <w:t xml:space="preserve">Identification des</w:t>
      </w:r>
      <w:r>
        <w:t xml:space="preserve"> </w:t>
      </w:r>
      <w:r>
        <w:rPr>
          <w:b/>
          <w:bCs/>
        </w:rPr>
        <w:t xml:space="preserve">engins prioritaires Flotte Pro +</w:t>
      </w:r>
      <w:r>
        <w:t xml:space="preserve"> </w:t>
      </w:r>
      <w:r>
        <w:t xml:space="preserve">(engins lourds à forte dépendance opérationnelle)</w:t>
      </w:r>
    </w:p>
    <w:bookmarkEnd w:id="33"/>
    <w:bookmarkStart w:id="34" w:name="X94a1e5e812bf28984653fdfb7e2cc49e9598810"/>
    <w:p>
      <w:pPr>
        <w:pStyle w:val="Heading3"/>
      </w:pPr>
      <w:r>
        <w:t xml:space="preserve">Phase steady-state (T0 + 120 jours et au-delà)</w:t>
      </w:r>
    </w:p>
    <w:p>
      <w:pPr>
        <w:pStyle w:val="Compact"/>
        <w:numPr>
          <w:ilvl w:val="0"/>
          <w:numId w:val="1009"/>
        </w:numPr>
      </w:pPr>
      <w:r>
        <w:t xml:space="preserve">Revue mensuelle opérationnelle (30 min, Liaison + responsable parc)</w:t>
      </w:r>
    </w:p>
    <w:p>
      <w:pPr>
        <w:pStyle w:val="Compact"/>
        <w:numPr>
          <w:ilvl w:val="0"/>
          <w:numId w:val="1009"/>
        </w:numPr>
      </w:pPr>
      <w:r>
        <w:t xml:space="preserve">Revue trimestrielle stratégique (1 h, Liaison senior + Direction technique / DAF)</w:t>
      </w:r>
    </w:p>
    <w:p>
      <w:pPr>
        <w:pStyle w:val="Compact"/>
        <w:numPr>
          <w:ilvl w:val="0"/>
          <w:numId w:val="1009"/>
        </w:numPr>
      </w:pPr>
      <w:r>
        <w:t xml:space="preserve">Optimisation continue (ajout de chantiers, ajout de SKU critiques, ajustement seuils alertes)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407c25866bc9357dc37177450b9abeeeadff91d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0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0"/>
        </w:numPr>
      </w:pPr>
      <w:r>
        <w:t xml:space="preserve">Données : export complet CSV / FEC à la sortie (historique commandes, factures, fiches véhicules/engins, alertes maintenance, plans d'entretien).</w:t>
      </w:r>
    </w:p>
    <w:p>
      <w:pPr>
        <w:pStyle w:val="Compact"/>
        <w:numPr>
          <w:ilvl w:val="0"/>
          <w:numId w:val="1010"/>
        </w:numPr>
      </w:pPr>
      <w:r>
        <w:t xml:space="preserve">Aucune clause d'exclusivité — [Nom de l'entreprise BTP] peut continuer à acheter hors Pièces si elle le souhaite, mais perd la visibilité consolidée et la facturation normalisée sur ces achats.</w:t>
      </w:r>
    </w:p>
    <w:p>
      <w:r>
        <w:pict>
          <v:rect style="width:0;height:1.5pt" o:hralign="center" o:hrstd="t" o:hr="t"/>
        </w:pict>
      </w:r>
    </w:p>
    <w:bookmarkEnd w:id="36"/>
    <w:bookmarkStart w:id="37" w:name="Xadb8d9e5dde7d0b2d453665ba72395db9cd303c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BTP de 800 véhicules en Côte d'Ivoire, Pièces recommande :</w:t>
      </w:r>
    </w:p>
    <w:p>
      <w:pPr>
        <w:pStyle w:val="BodyText"/>
      </w:pPr>
      <w:r>
        <w:rPr>
          <w:b/>
          <w:bCs/>
        </w:rPr>
        <w:t xml:space="preserve">Démarrer en Flotte Pro + sur les chantiers principaux (300–500 véhicules/engins prioritaires) pour 12 mois</w:t>
      </w:r>
      <w:r>
        <w:t xml:space="preserve">, payé annuellement. Le reste du parc (300–500 véhicules secondaires : pickups, véhicules de liaison, parc dormant) en</w:t>
      </w:r>
      <w:r>
        <w:t xml:space="preserve"> </w:t>
      </w:r>
      <w:r>
        <w:rPr>
          <w:b/>
          <w:bCs/>
        </w:rPr>
        <w:t xml:space="preserve">Flotte Pro</w:t>
      </w:r>
      <w:r>
        <w:t xml:space="preserve">.</w:t>
      </w:r>
    </w:p>
    <w:p>
      <w:pPr>
        <w:pStyle w:val="BodyText"/>
      </w:pPr>
      <w:r>
        <w:t xml:space="preserve">Configuration cible :</w:t>
      </w:r>
    </w:p>
    <w:p>
      <w:pPr>
        <w:pStyle w:val="Compact"/>
        <w:numPr>
          <w:ilvl w:val="0"/>
          <w:numId w:val="1011"/>
        </w:numPr>
      </w:pPr>
      <w:r>
        <w:t xml:space="preserve">400 véh en Flotte Pro + : 40 M FCFA/an (annuel)</w:t>
      </w:r>
    </w:p>
    <w:p>
      <w:pPr>
        <w:pStyle w:val="Compact"/>
        <w:numPr>
          <w:ilvl w:val="0"/>
          <w:numId w:val="1011"/>
        </w:numPr>
      </w:pPr>
      <w:r>
        <w:t xml:space="preserve">400 véh en Flotte Pro : 20 M FCFA/an (annuel)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Total : 60 M FCFA/an</w:t>
      </w:r>
      <w:r>
        <w:t xml:space="preserve"> </w:t>
      </w:r>
      <w:r>
        <w:t xml:space="preserve">pour un ROI projeté de 165 à 200 M FCFA/an (ratio ×2,7 à ×3,3).</w:t>
      </w:r>
    </w:p>
    <w:p>
      <w:pPr>
        <w:pStyle w:val="FirstParagraph"/>
      </w:pPr>
      <w:r>
        <w:t xml:space="preserve">Cette approche permet de concentrer la valeur du SLA 3 h chrono là où elle paie réellement (engins lourds en chantier critique) sans gonfler le coût sur le parc non-prioritaire.</w:t>
      </w:r>
    </w:p>
    <w:p>
      <w:r>
        <w:pict>
          <v:rect style="width:0;height:1.5pt" o:hralign="center" o:hrstd="t" o:hr="t"/>
        </w:pict>
      </w:r>
    </w:p>
    <w:bookmarkEnd w:id="37"/>
    <w:bookmarkStart w:id="38" w:name="X04269a78f9844372bccf02515e9d04fef119bb7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2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27 mai 2026.</w:t>
      </w:r>
    </w:p>
    <w:p>
      <w:pPr>
        <w:pStyle w:val="Compact"/>
        <w:numPr>
          <w:ilvl w:val="0"/>
          <w:numId w:val="1012"/>
        </w:numPr>
      </w:pPr>
      <w:r>
        <w:t xml:space="preserve">L'offre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pilote).</w:t>
      </w:r>
    </w:p>
    <w:p>
      <w:pPr>
        <w:pStyle w:val="Compact"/>
        <w:numPr>
          <w:ilvl w:val="0"/>
          <w:numId w:val="1012"/>
        </w:numPr>
      </w:pPr>
      <w:r>
        <w:t xml:space="preserve">Un contrat-cadre détaillé sera produit à l'issue de la phase pilote (T0 + 30 jours), reprenant les conditions de cette offre et les ajustements opérationnels constatés (sites miniers, intégration GMAO, fréquences de livraison hebdomadaire).</w:t>
      </w:r>
    </w:p>
    <w:p>
      <w:r>
        <w:pict>
          <v:rect style="width:0;height:1.5pt" o:hralign="center" o:hrstd="t" o:hr="t"/>
        </w:pict>
      </w:r>
    </w:p>
    <w:bookmarkEnd w:id="38"/>
    <w:bookmarkStart w:id="40" w:name="X5dd80f53d02925f270703a35b97d600acb1d2bf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hyperlink r:id="rId39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PCS-BTP-2026-05-001.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2026-05-27T22:42:44Z</dcterms:created>
  <dcterms:modified xsi:type="dcterms:W3CDTF">2026-05-27T22:42:44Z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